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3176" w14:textId="4030A4B6" w:rsidR="00CA4D1C" w:rsidRPr="00EE06EE" w:rsidRDefault="00EE06EE" w:rsidP="00EE06EE">
      <w:pPr>
        <w:rPr>
          <w:rFonts w:ascii="Arial" w:hAnsi="Arial" w:cs="Arial"/>
          <w:b/>
          <w:sz w:val="22"/>
          <w:szCs w:val="22"/>
        </w:rPr>
      </w:pPr>
      <w:r w:rsidRPr="00EE06EE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5C3512F" wp14:editId="55553074">
            <wp:extent cx="1457325" cy="5429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74985" w14:textId="77777777" w:rsidR="00CA4D1C" w:rsidRDefault="00083B74" w:rsidP="00EE06EE">
      <w:pPr>
        <w:jc w:val="center"/>
        <w:rPr>
          <w:rFonts w:ascii="Arial" w:hAnsi="Arial" w:cs="Arial"/>
          <w:b/>
          <w:sz w:val="22"/>
          <w:szCs w:val="22"/>
        </w:rPr>
      </w:pPr>
      <w:r w:rsidRPr="00EE06EE">
        <w:rPr>
          <w:rFonts w:ascii="Arial" w:hAnsi="Arial" w:cs="Arial"/>
          <w:b/>
          <w:sz w:val="22"/>
          <w:szCs w:val="22"/>
        </w:rPr>
        <w:t>Job Description</w:t>
      </w:r>
    </w:p>
    <w:p w14:paraId="24BF958A" w14:textId="77777777" w:rsidR="00EE06EE" w:rsidRDefault="00EE06EE" w:rsidP="00EE06E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5536"/>
      </w:tblGrid>
      <w:tr w:rsidR="00CA4D1C" w:rsidRPr="00EE06EE" w14:paraId="598EB51F" w14:textId="77777777" w:rsidTr="00EE06EE">
        <w:tc>
          <w:tcPr>
            <w:tcW w:w="2935" w:type="dxa"/>
            <w:shd w:val="clear" w:color="auto" w:fill="DAEEF3"/>
          </w:tcPr>
          <w:p w14:paraId="2926B747" w14:textId="1FD50C66" w:rsidR="000C166D" w:rsidRPr="00EE06EE" w:rsidRDefault="00CA4D1C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5731" w:type="dxa"/>
          </w:tcPr>
          <w:p w14:paraId="4D51E36D" w14:textId="670F6FD0" w:rsidR="00CA4D1C" w:rsidRPr="00EE06EE" w:rsidRDefault="005233BF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Research</w:t>
            </w:r>
            <w:r w:rsidR="0000737E" w:rsidRPr="00EE06EE">
              <w:rPr>
                <w:rFonts w:ascii="Arial" w:hAnsi="Arial" w:cs="Arial"/>
                <w:sz w:val="22"/>
                <w:szCs w:val="22"/>
              </w:rPr>
              <w:t xml:space="preserve"> Recovery </w:t>
            </w:r>
            <w:r w:rsidRPr="00EE06EE">
              <w:rPr>
                <w:rFonts w:ascii="Arial" w:hAnsi="Arial" w:cs="Arial"/>
                <w:sz w:val="22"/>
                <w:szCs w:val="22"/>
              </w:rPr>
              <w:t xml:space="preserve">Rates </w:t>
            </w:r>
            <w:r w:rsidR="0000737E" w:rsidRPr="00EE06EE">
              <w:rPr>
                <w:rFonts w:ascii="Arial" w:hAnsi="Arial" w:cs="Arial"/>
                <w:sz w:val="22"/>
                <w:szCs w:val="22"/>
              </w:rPr>
              <w:t>Pr</w:t>
            </w:r>
            <w:r w:rsidR="00762D3C" w:rsidRPr="00EE06EE">
              <w:rPr>
                <w:rFonts w:ascii="Arial" w:hAnsi="Arial" w:cs="Arial"/>
                <w:sz w:val="22"/>
                <w:szCs w:val="22"/>
              </w:rPr>
              <w:t>ogramme</w:t>
            </w:r>
            <w:r w:rsidR="0000737E" w:rsidRPr="00EE06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61C0" w:rsidRPr="00EE06EE">
              <w:rPr>
                <w:rFonts w:ascii="Arial" w:hAnsi="Arial" w:cs="Arial"/>
                <w:sz w:val="22"/>
                <w:szCs w:val="22"/>
              </w:rPr>
              <w:t>Manager</w:t>
            </w:r>
          </w:p>
        </w:tc>
      </w:tr>
      <w:tr w:rsidR="00CA4D1C" w:rsidRPr="00EE06EE" w14:paraId="3BE62476" w14:textId="77777777" w:rsidTr="00EE06EE">
        <w:tc>
          <w:tcPr>
            <w:tcW w:w="2935" w:type="dxa"/>
            <w:shd w:val="clear" w:color="auto" w:fill="DAEEF3"/>
          </w:tcPr>
          <w:p w14:paraId="432EFD62" w14:textId="4B49795A" w:rsidR="000C166D" w:rsidRPr="00EE06EE" w:rsidRDefault="00CA4D1C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>Department/School:</w:t>
            </w:r>
          </w:p>
        </w:tc>
        <w:tc>
          <w:tcPr>
            <w:tcW w:w="5731" w:type="dxa"/>
          </w:tcPr>
          <w:p w14:paraId="7CBB6387" w14:textId="703D3F00" w:rsidR="00CA4D1C" w:rsidRPr="00EE06EE" w:rsidRDefault="0000737E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Research &amp; Impact Services</w:t>
            </w:r>
            <w:r w:rsidR="00DF50F9" w:rsidRPr="00EE06EE">
              <w:rPr>
                <w:rFonts w:ascii="Arial" w:hAnsi="Arial" w:cs="Arial"/>
                <w:sz w:val="22"/>
                <w:szCs w:val="22"/>
              </w:rPr>
              <w:t xml:space="preserve"> (RIS)</w:t>
            </w:r>
          </w:p>
        </w:tc>
      </w:tr>
      <w:tr w:rsidR="00CA4D1C" w:rsidRPr="00EE06EE" w14:paraId="348C3171" w14:textId="77777777" w:rsidTr="00EE06EE">
        <w:tc>
          <w:tcPr>
            <w:tcW w:w="2935" w:type="dxa"/>
            <w:shd w:val="clear" w:color="auto" w:fill="DAEEF3"/>
          </w:tcPr>
          <w:p w14:paraId="46124754" w14:textId="5CC1496F" w:rsidR="000C166D" w:rsidRPr="00EE06EE" w:rsidRDefault="00CA4D1C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5731" w:type="dxa"/>
          </w:tcPr>
          <w:p w14:paraId="4647336A" w14:textId="459BD764" w:rsidR="00CA4D1C" w:rsidRPr="00EE06EE" w:rsidRDefault="0000737E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Grade 8</w:t>
            </w:r>
          </w:p>
        </w:tc>
      </w:tr>
      <w:tr w:rsidR="00CA4D1C" w:rsidRPr="00EE06EE" w14:paraId="356713AC" w14:textId="77777777" w:rsidTr="00EE06EE">
        <w:tc>
          <w:tcPr>
            <w:tcW w:w="2935" w:type="dxa"/>
            <w:shd w:val="clear" w:color="auto" w:fill="DAEEF3"/>
          </w:tcPr>
          <w:p w14:paraId="2E5846E3" w14:textId="7E2B1C0F" w:rsidR="000C166D" w:rsidRPr="00EE06EE" w:rsidRDefault="00CA4D1C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5731" w:type="dxa"/>
          </w:tcPr>
          <w:p w14:paraId="0BA433E2" w14:textId="31598637" w:rsidR="00CA4D1C" w:rsidRPr="00EE06EE" w:rsidRDefault="000C166D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University of Bath premises</w:t>
            </w:r>
            <w:r w:rsidR="0000737E" w:rsidRPr="00EE06EE">
              <w:rPr>
                <w:rFonts w:ascii="Arial" w:hAnsi="Arial" w:cs="Arial"/>
                <w:sz w:val="22"/>
                <w:szCs w:val="22"/>
              </w:rPr>
              <w:t>/Hybrid</w:t>
            </w:r>
          </w:p>
        </w:tc>
      </w:tr>
    </w:tbl>
    <w:p w14:paraId="4E6A6FE8" w14:textId="77777777" w:rsidR="00CA4D1C" w:rsidRPr="00EE06EE" w:rsidRDefault="00CA4D1C" w:rsidP="00EE06E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CA4D1C" w:rsidRPr="00EE06EE" w14:paraId="75DF05CD" w14:textId="77777777" w:rsidTr="005C6268">
        <w:tc>
          <w:tcPr>
            <w:tcW w:w="8720" w:type="dxa"/>
            <w:shd w:val="clear" w:color="auto" w:fill="DAEEF3"/>
          </w:tcPr>
          <w:p w14:paraId="065B4126" w14:textId="56E06B80" w:rsidR="007577E7" w:rsidRPr="00EE06EE" w:rsidRDefault="00CA4D1C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CA4D1C" w:rsidRPr="00EE06EE" w14:paraId="681E17B6" w14:textId="77777777" w:rsidTr="00557E4E">
        <w:tc>
          <w:tcPr>
            <w:tcW w:w="8720" w:type="dxa"/>
          </w:tcPr>
          <w:p w14:paraId="73926A15" w14:textId="77777777" w:rsidR="00EE06EE" w:rsidRDefault="00EE06EE" w:rsidP="00EE06E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EB876C8" w14:textId="7A88F7AC" w:rsidR="00DF50F9" w:rsidRPr="00EE06EE" w:rsidRDefault="00762D3C" w:rsidP="00EE06E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E06EE">
              <w:rPr>
                <w:rFonts w:ascii="Arial" w:hAnsi="Arial" w:cs="Arial"/>
                <w:iCs/>
                <w:sz w:val="22"/>
                <w:szCs w:val="22"/>
              </w:rPr>
              <w:t xml:space="preserve">The </w:t>
            </w:r>
            <w:r w:rsidR="005233BF" w:rsidRPr="00EE06EE">
              <w:rPr>
                <w:rFonts w:ascii="Arial" w:hAnsi="Arial" w:cs="Arial"/>
                <w:iCs/>
                <w:sz w:val="22"/>
                <w:szCs w:val="22"/>
              </w:rPr>
              <w:t>Research Recovery Rates</w:t>
            </w:r>
            <w:r w:rsidRPr="00EE06EE">
              <w:rPr>
                <w:rFonts w:ascii="Arial" w:hAnsi="Arial" w:cs="Arial"/>
                <w:iCs/>
                <w:sz w:val="22"/>
                <w:szCs w:val="22"/>
              </w:rPr>
              <w:t xml:space="preserve"> Programme </w:t>
            </w:r>
            <w:r w:rsidR="002061C0" w:rsidRPr="00EE06EE">
              <w:rPr>
                <w:rFonts w:ascii="Arial" w:hAnsi="Arial" w:cs="Arial"/>
                <w:iCs/>
                <w:sz w:val="22"/>
                <w:szCs w:val="22"/>
              </w:rPr>
              <w:t xml:space="preserve">Manager </w:t>
            </w:r>
            <w:r w:rsidRPr="00EE06EE">
              <w:rPr>
                <w:rFonts w:ascii="Arial" w:hAnsi="Arial" w:cs="Arial"/>
                <w:iCs/>
                <w:sz w:val="22"/>
                <w:szCs w:val="22"/>
              </w:rPr>
              <w:t xml:space="preserve">will provide strategic leadership and operational direction for a two-year initiative aimed at improving the university’s </w:t>
            </w:r>
            <w:r w:rsidR="00284BDA" w:rsidRPr="00EE06EE">
              <w:rPr>
                <w:rFonts w:ascii="Arial" w:hAnsi="Arial" w:cs="Arial"/>
                <w:iCs/>
                <w:sz w:val="22"/>
                <w:szCs w:val="22"/>
              </w:rPr>
              <w:t>research</w:t>
            </w:r>
            <w:r w:rsidR="00FA28B8" w:rsidRPr="00EE06EE">
              <w:rPr>
                <w:rFonts w:ascii="Arial" w:hAnsi="Arial" w:cs="Arial"/>
                <w:iCs/>
                <w:sz w:val="22"/>
                <w:szCs w:val="22"/>
              </w:rPr>
              <w:t xml:space="preserve"> project</w:t>
            </w:r>
            <w:r w:rsidR="00284BDA" w:rsidRPr="00EE06EE">
              <w:rPr>
                <w:rFonts w:ascii="Arial" w:hAnsi="Arial" w:cs="Arial"/>
                <w:iCs/>
                <w:sz w:val="22"/>
                <w:szCs w:val="22"/>
              </w:rPr>
              <w:t xml:space="preserve"> recovery rates as measured by </w:t>
            </w:r>
            <w:r w:rsidRPr="00EE06EE">
              <w:rPr>
                <w:rFonts w:ascii="Arial" w:hAnsi="Arial" w:cs="Arial"/>
                <w:iCs/>
                <w:sz w:val="22"/>
                <w:szCs w:val="22"/>
              </w:rPr>
              <w:t>TRAC (Transparent Approach to Costing)</w:t>
            </w:r>
            <w:r w:rsidR="00284BDA" w:rsidRPr="00EE06EE">
              <w:rPr>
                <w:rFonts w:ascii="Arial" w:hAnsi="Arial" w:cs="Arial"/>
                <w:iCs/>
                <w:sz w:val="22"/>
                <w:szCs w:val="22"/>
              </w:rPr>
              <w:t>.</w:t>
            </w:r>
            <w:r w:rsidRPr="00EE06E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3A996328" w14:textId="77777777" w:rsidR="00DF50F9" w:rsidRPr="00EE06EE" w:rsidRDefault="00DF50F9" w:rsidP="00EE06E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C403040" w14:textId="419D1955" w:rsidR="00DF50F9" w:rsidRPr="00EE06EE" w:rsidRDefault="00762D3C" w:rsidP="00EE06E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E06EE">
              <w:rPr>
                <w:rFonts w:ascii="Arial" w:hAnsi="Arial" w:cs="Arial"/>
                <w:iCs/>
                <w:sz w:val="22"/>
                <w:szCs w:val="22"/>
              </w:rPr>
              <w:t>Embedded within Research &amp; Impact Services</w:t>
            </w:r>
            <w:r w:rsidR="00083AC6" w:rsidRPr="00EE06EE">
              <w:rPr>
                <w:rFonts w:ascii="Arial" w:hAnsi="Arial" w:cs="Arial"/>
                <w:iCs/>
                <w:sz w:val="22"/>
                <w:szCs w:val="22"/>
              </w:rPr>
              <w:t xml:space="preserve"> (RIS)</w:t>
            </w:r>
            <w:r w:rsidRPr="00EE06EE">
              <w:rPr>
                <w:rFonts w:ascii="Arial" w:hAnsi="Arial" w:cs="Arial"/>
                <w:iCs/>
                <w:sz w:val="22"/>
                <w:szCs w:val="22"/>
              </w:rPr>
              <w:t xml:space="preserve">, the postholder will take ownership of the delivery </w:t>
            </w:r>
            <w:r w:rsidR="00605158" w:rsidRPr="00EE06EE">
              <w:rPr>
                <w:rFonts w:ascii="Arial" w:hAnsi="Arial" w:cs="Arial"/>
                <w:iCs/>
                <w:sz w:val="22"/>
                <w:szCs w:val="22"/>
              </w:rPr>
              <w:t xml:space="preserve">of the </w:t>
            </w:r>
            <w:r w:rsidR="00B57041" w:rsidRPr="00EE06EE">
              <w:rPr>
                <w:rFonts w:ascii="Arial" w:hAnsi="Arial" w:cs="Arial"/>
                <w:iCs/>
                <w:sz w:val="22"/>
                <w:szCs w:val="22"/>
              </w:rPr>
              <w:t xml:space="preserve">Research </w:t>
            </w:r>
            <w:r w:rsidRPr="00EE06EE">
              <w:rPr>
                <w:rFonts w:ascii="Arial" w:hAnsi="Arial" w:cs="Arial"/>
                <w:iCs/>
                <w:sz w:val="22"/>
                <w:szCs w:val="22"/>
              </w:rPr>
              <w:t xml:space="preserve">Recovery </w:t>
            </w:r>
            <w:r w:rsidR="00B57041" w:rsidRPr="00EE06EE">
              <w:rPr>
                <w:rFonts w:ascii="Arial" w:hAnsi="Arial" w:cs="Arial"/>
                <w:iCs/>
                <w:sz w:val="22"/>
                <w:szCs w:val="22"/>
              </w:rPr>
              <w:t xml:space="preserve">Rates </w:t>
            </w:r>
            <w:r w:rsidRPr="00EE06EE">
              <w:rPr>
                <w:rFonts w:ascii="Arial" w:hAnsi="Arial" w:cs="Arial"/>
                <w:iCs/>
                <w:sz w:val="22"/>
                <w:szCs w:val="22"/>
              </w:rPr>
              <w:t>Programme</w:t>
            </w:r>
            <w:r w:rsidR="00B57041" w:rsidRPr="00EE06EE">
              <w:rPr>
                <w:rFonts w:ascii="Arial" w:hAnsi="Arial" w:cs="Arial"/>
                <w:iCs/>
                <w:sz w:val="22"/>
                <w:szCs w:val="22"/>
              </w:rPr>
              <w:t xml:space="preserve"> (R</w:t>
            </w:r>
            <w:r w:rsidR="005233BF" w:rsidRPr="00EE06EE">
              <w:rPr>
                <w:rFonts w:ascii="Arial" w:hAnsi="Arial" w:cs="Arial"/>
                <w:iCs/>
                <w:sz w:val="22"/>
                <w:szCs w:val="22"/>
              </w:rPr>
              <w:t>3</w:t>
            </w:r>
            <w:r w:rsidR="00B57041" w:rsidRPr="00EE06EE">
              <w:rPr>
                <w:rFonts w:ascii="Arial" w:hAnsi="Arial" w:cs="Arial"/>
                <w:iCs/>
                <w:sz w:val="22"/>
                <w:szCs w:val="22"/>
              </w:rPr>
              <w:t>P)</w:t>
            </w:r>
            <w:r w:rsidRPr="00EE06EE">
              <w:rPr>
                <w:rFonts w:ascii="Arial" w:hAnsi="Arial" w:cs="Arial"/>
                <w:iCs/>
                <w:sz w:val="22"/>
                <w:szCs w:val="22"/>
              </w:rPr>
              <w:t>, working collaboratively</w:t>
            </w:r>
            <w:r w:rsidR="00DF50F9" w:rsidRPr="00EE06EE">
              <w:rPr>
                <w:rFonts w:ascii="Arial" w:hAnsi="Arial" w:cs="Arial"/>
                <w:iCs/>
                <w:sz w:val="22"/>
                <w:szCs w:val="22"/>
              </w:rPr>
              <w:t xml:space="preserve"> with others in RIS and</w:t>
            </w:r>
            <w:r w:rsidR="00D5301A" w:rsidRPr="00EE06E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41785B" w:rsidRPr="00EE06EE">
              <w:rPr>
                <w:rFonts w:ascii="Arial" w:hAnsi="Arial" w:cs="Arial"/>
                <w:iCs/>
                <w:sz w:val="22"/>
                <w:szCs w:val="22"/>
              </w:rPr>
              <w:t xml:space="preserve">colleagues from </w:t>
            </w:r>
            <w:r w:rsidR="00DF50F9" w:rsidRPr="00EE06EE">
              <w:rPr>
                <w:rFonts w:ascii="Arial" w:hAnsi="Arial" w:cs="Arial"/>
                <w:iCs/>
                <w:sz w:val="22"/>
                <w:szCs w:val="22"/>
              </w:rPr>
              <w:t>other</w:t>
            </w:r>
            <w:r w:rsidRPr="00EE06EE">
              <w:rPr>
                <w:rFonts w:ascii="Arial" w:hAnsi="Arial" w:cs="Arial"/>
                <w:iCs/>
                <w:sz w:val="22"/>
                <w:szCs w:val="22"/>
              </w:rPr>
              <w:t xml:space="preserve"> departments</w:t>
            </w:r>
            <w:r w:rsidR="00D5301A" w:rsidRPr="00EE06EE">
              <w:rPr>
                <w:rFonts w:ascii="Arial" w:hAnsi="Arial" w:cs="Arial"/>
                <w:iCs/>
                <w:sz w:val="22"/>
                <w:szCs w:val="22"/>
              </w:rPr>
              <w:t xml:space="preserve"> across the University</w:t>
            </w:r>
            <w:r w:rsidR="0041785B" w:rsidRPr="00EE06EE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Pr="00EE06EE">
              <w:rPr>
                <w:rFonts w:ascii="Arial" w:hAnsi="Arial" w:cs="Arial"/>
                <w:iCs/>
                <w:sz w:val="22"/>
                <w:szCs w:val="22"/>
              </w:rPr>
              <w:t xml:space="preserve"> to develop and deliver a robust action plan. </w:t>
            </w:r>
          </w:p>
          <w:p w14:paraId="5B936FE1" w14:textId="77777777" w:rsidR="00B57041" w:rsidRPr="00EE06EE" w:rsidRDefault="00B57041" w:rsidP="00EE06E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6953D1C" w14:textId="2FD26AEE" w:rsidR="00A12ED4" w:rsidRDefault="00B57041" w:rsidP="00EE06E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E06EE">
              <w:rPr>
                <w:rFonts w:ascii="Arial" w:hAnsi="Arial" w:cs="Arial"/>
                <w:iCs/>
                <w:sz w:val="22"/>
                <w:szCs w:val="22"/>
              </w:rPr>
              <w:t>R</w:t>
            </w:r>
            <w:r w:rsidR="005233BF" w:rsidRPr="00EE06EE">
              <w:rPr>
                <w:rFonts w:ascii="Arial" w:hAnsi="Arial" w:cs="Arial"/>
                <w:iCs/>
                <w:sz w:val="22"/>
                <w:szCs w:val="22"/>
              </w:rPr>
              <w:t>3</w:t>
            </w:r>
            <w:r w:rsidRPr="00EE06EE"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="00A12ED4" w:rsidRPr="00EE06EE">
              <w:rPr>
                <w:rFonts w:ascii="Arial" w:hAnsi="Arial" w:cs="Arial"/>
                <w:iCs/>
                <w:sz w:val="22"/>
                <w:szCs w:val="22"/>
              </w:rPr>
              <w:t xml:space="preserve"> will cover:</w:t>
            </w:r>
          </w:p>
          <w:p w14:paraId="469D53B3" w14:textId="77777777" w:rsidR="00EE06EE" w:rsidRPr="00EE06EE" w:rsidRDefault="00EE06EE" w:rsidP="00EE06E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D2684EE" w14:textId="4869848D" w:rsidR="00A12ED4" w:rsidRPr="00EE06EE" w:rsidRDefault="00A12ED4" w:rsidP="00EE06EE">
            <w:pPr>
              <w:numPr>
                <w:ilvl w:val="0"/>
                <w:numId w:val="18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EE06EE">
              <w:rPr>
                <w:rFonts w:ascii="Arial" w:hAnsi="Arial" w:cs="Arial"/>
                <w:iCs/>
                <w:sz w:val="22"/>
                <w:szCs w:val="22"/>
              </w:rPr>
              <w:t xml:space="preserve">Strategic Alignment: Aligns </w:t>
            </w:r>
            <w:r w:rsidR="008E3169" w:rsidRPr="00EE06EE">
              <w:rPr>
                <w:rFonts w:ascii="Arial" w:hAnsi="Arial" w:cs="Arial"/>
                <w:iCs/>
                <w:sz w:val="22"/>
                <w:szCs w:val="22"/>
              </w:rPr>
              <w:t xml:space="preserve">research project </w:t>
            </w:r>
            <w:r w:rsidRPr="00EE06EE">
              <w:rPr>
                <w:rFonts w:ascii="Arial" w:hAnsi="Arial" w:cs="Arial"/>
                <w:iCs/>
                <w:sz w:val="22"/>
                <w:szCs w:val="22"/>
              </w:rPr>
              <w:t>financial management with university strategy, supporting long-term goals.</w:t>
            </w:r>
          </w:p>
          <w:p w14:paraId="7DA46ABD" w14:textId="77777777" w:rsidR="000D1AF1" w:rsidRPr="00EE06EE" w:rsidRDefault="000D1AF1" w:rsidP="00EE06EE">
            <w:pPr>
              <w:numPr>
                <w:ilvl w:val="0"/>
                <w:numId w:val="18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EE06EE">
              <w:rPr>
                <w:rFonts w:ascii="Arial" w:hAnsi="Arial" w:cs="Arial"/>
                <w:iCs/>
                <w:sz w:val="22"/>
                <w:szCs w:val="22"/>
              </w:rPr>
              <w:t>Cost Recovery: Maximises cost recovery, ensuring sustainable funding for research projects.</w:t>
            </w:r>
          </w:p>
          <w:p w14:paraId="0197B346" w14:textId="77777777" w:rsidR="000D1AF1" w:rsidRPr="00EE06EE" w:rsidRDefault="000D1AF1" w:rsidP="00EE06EE">
            <w:pPr>
              <w:numPr>
                <w:ilvl w:val="0"/>
                <w:numId w:val="18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EE06EE">
              <w:rPr>
                <w:rFonts w:ascii="Arial" w:hAnsi="Arial" w:cs="Arial"/>
                <w:iCs/>
                <w:sz w:val="22"/>
                <w:szCs w:val="22"/>
              </w:rPr>
              <w:t>Enhanced Oversight: Ensures thorough operational supervision of research funding processes, from Pre-Award through to Post-Award. All current practices will be considered for adjustments and improvements to ensure maximised recovery.</w:t>
            </w:r>
          </w:p>
          <w:p w14:paraId="7289831E" w14:textId="41A8EEBB" w:rsidR="00A12ED4" w:rsidRPr="00EE06EE" w:rsidRDefault="00A12ED4" w:rsidP="00EE06EE">
            <w:pPr>
              <w:numPr>
                <w:ilvl w:val="0"/>
                <w:numId w:val="18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EE06EE">
              <w:rPr>
                <w:rFonts w:ascii="Arial" w:hAnsi="Arial" w:cs="Arial"/>
                <w:iCs/>
                <w:sz w:val="22"/>
                <w:szCs w:val="22"/>
              </w:rPr>
              <w:t>Risk Management: Identifies and mitigates financial risks</w:t>
            </w:r>
            <w:r w:rsidR="005104FF" w:rsidRPr="00EE06EE">
              <w:rPr>
                <w:rFonts w:ascii="Arial" w:hAnsi="Arial" w:cs="Arial"/>
                <w:iCs/>
                <w:sz w:val="22"/>
                <w:szCs w:val="22"/>
              </w:rPr>
              <w:t xml:space="preserve"> in the research project application and award process</w:t>
            </w:r>
            <w:r w:rsidRPr="00EE06EE">
              <w:rPr>
                <w:rFonts w:ascii="Arial" w:hAnsi="Arial" w:cs="Arial"/>
                <w:iCs/>
                <w:sz w:val="22"/>
                <w:szCs w:val="22"/>
              </w:rPr>
              <w:t>, safeguarding university resources.</w:t>
            </w:r>
          </w:p>
          <w:p w14:paraId="2077FB6E" w14:textId="3D561035" w:rsidR="00A12ED4" w:rsidRPr="00EE06EE" w:rsidRDefault="00A12ED4" w:rsidP="00EE06EE">
            <w:pPr>
              <w:numPr>
                <w:ilvl w:val="0"/>
                <w:numId w:val="18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EE06EE">
              <w:rPr>
                <w:rFonts w:ascii="Arial" w:hAnsi="Arial" w:cs="Arial"/>
                <w:iCs/>
                <w:sz w:val="22"/>
                <w:szCs w:val="22"/>
              </w:rPr>
              <w:t>Expertise and Support: Provides specialized knowledge and support to researchers, enhancing funding success rates.</w:t>
            </w:r>
          </w:p>
          <w:p w14:paraId="56A839FC" w14:textId="77777777" w:rsidR="00DF50F9" w:rsidRPr="00EE06EE" w:rsidRDefault="00DF50F9" w:rsidP="00EE06E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AB2808E" w14:textId="5587D2A0" w:rsidR="00CA4D1C" w:rsidRPr="00EE06EE" w:rsidRDefault="00762D3C" w:rsidP="00EE06E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E06EE">
              <w:rPr>
                <w:rFonts w:ascii="Arial" w:hAnsi="Arial" w:cs="Arial"/>
                <w:iCs/>
                <w:sz w:val="22"/>
                <w:szCs w:val="22"/>
              </w:rPr>
              <w:t>This work will be closely aligned with a concurrent systems implementation project to ensure sustainable and integrated improvements.</w:t>
            </w:r>
          </w:p>
          <w:p w14:paraId="39AE2068" w14:textId="6FD5B18B" w:rsidR="00762D3C" w:rsidRPr="00EE06EE" w:rsidRDefault="00762D3C" w:rsidP="00EE06E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65808A77" w14:textId="77777777" w:rsidR="00CA4D1C" w:rsidRPr="00EE06EE" w:rsidRDefault="00CA4D1C" w:rsidP="00EE06E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CA4D1C" w:rsidRPr="00EE06EE" w14:paraId="3062E45C" w14:textId="77777777" w:rsidTr="00EE06EE">
        <w:tc>
          <w:tcPr>
            <w:tcW w:w="8658" w:type="dxa"/>
            <w:shd w:val="clear" w:color="auto" w:fill="DAEEF3"/>
          </w:tcPr>
          <w:p w14:paraId="1336979C" w14:textId="52FC9759" w:rsidR="007577E7" w:rsidRPr="00EE06EE" w:rsidRDefault="00CA4D1C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 xml:space="preserve">Source and nature of management provided </w:t>
            </w:r>
          </w:p>
        </w:tc>
      </w:tr>
      <w:tr w:rsidR="00CA4D1C" w:rsidRPr="00EE06EE" w14:paraId="3C98B197" w14:textId="77777777" w:rsidTr="00EE06EE">
        <w:tc>
          <w:tcPr>
            <w:tcW w:w="8658" w:type="dxa"/>
          </w:tcPr>
          <w:p w14:paraId="5CDF6919" w14:textId="77777777" w:rsidR="00CA4D1C" w:rsidRPr="00EE06EE" w:rsidRDefault="00CA4D1C" w:rsidP="00EE06E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1CFCF75" w14:textId="7CC5319F" w:rsidR="00CA4D1C" w:rsidRPr="00EE06EE" w:rsidRDefault="00762D3C" w:rsidP="00EE06E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E06EE">
              <w:rPr>
                <w:rFonts w:ascii="Arial" w:hAnsi="Arial" w:cs="Arial"/>
                <w:iCs/>
                <w:sz w:val="22"/>
                <w:szCs w:val="22"/>
              </w:rPr>
              <w:t xml:space="preserve">The post holder will be line managed by the Head of Research </w:t>
            </w:r>
            <w:r w:rsidR="00EF391A" w:rsidRPr="00EE06EE">
              <w:rPr>
                <w:rFonts w:ascii="Arial" w:hAnsi="Arial" w:cs="Arial"/>
                <w:iCs/>
                <w:sz w:val="22"/>
                <w:szCs w:val="22"/>
              </w:rPr>
              <w:t>Funding but</w:t>
            </w:r>
            <w:r w:rsidRPr="00EE06EE">
              <w:rPr>
                <w:rFonts w:ascii="Arial" w:hAnsi="Arial" w:cs="Arial"/>
                <w:iCs/>
                <w:sz w:val="22"/>
                <w:szCs w:val="22"/>
              </w:rPr>
              <w:t xml:space="preserve"> will </w:t>
            </w:r>
            <w:r w:rsidR="00726D62" w:rsidRPr="00EE06EE">
              <w:rPr>
                <w:rFonts w:ascii="Arial" w:hAnsi="Arial" w:cs="Arial"/>
                <w:iCs/>
                <w:sz w:val="22"/>
                <w:szCs w:val="22"/>
              </w:rPr>
              <w:t xml:space="preserve">also </w:t>
            </w:r>
            <w:r w:rsidRPr="00EE06EE">
              <w:rPr>
                <w:rFonts w:ascii="Arial" w:hAnsi="Arial" w:cs="Arial"/>
                <w:iCs/>
                <w:sz w:val="22"/>
                <w:szCs w:val="22"/>
              </w:rPr>
              <w:t>work closely with</w:t>
            </w:r>
            <w:r w:rsidR="00726D62" w:rsidRPr="00EE06EE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Pr="00EE06EE">
              <w:rPr>
                <w:rFonts w:ascii="Arial" w:hAnsi="Arial" w:cs="Arial"/>
                <w:iCs/>
                <w:sz w:val="22"/>
                <w:szCs w:val="22"/>
              </w:rPr>
              <w:t xml:space="preserve"> and take direction from</w:t>
            </w:r>
            <w:r w:rsidR="00726D62" w:rsidRPr="00EE06EE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Pr="00EE06EE">
              <w:rPr>
                <w:rFonts w:ascii="Arial" w:hAnsi="Arial" w:cs="Arial"/>
                <w:iCs/>
                <w:sz w:val="22"/>
                <w:szCs w:val="22"/>
              </w:rPr>
              <w:t xml:space="preserve"> the Director of Research &amp; Impact Services</w:t>
            </w:r>
            <w:r w:rsidR="00B50D4D" w:rsidRPr="00EE06EE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1C567A25" w14:textId="77777777" w:rsidR="00CA4D1C" w:rsidRPr="00EE06EE" w:rsidRDefault="00CA4D1C" w:rsidP="00EE06E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8E1B7A9" w14:textId="77777777" w:rsidR="00CA4D1C" w:rsidRPr="00EE06EE" w:rsidRDefault="00CA4D1C" w:rsidP="00EE06E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CA4D1C" w:rsidRPr="00EE06EE" w14:paraId="548426AF" w14:textId="77777777" w:rsidTr="00EE06EE">
        <w:tc>
          <w:tcPr>
            <w:tcW w:w="8658" w:type="dxa"/>
            <w:shd w:val="clear" w:color="auto" w:fill="DAEEF3"/>
          </w:tcPr>
          <w:p w14:paraId="087A3D09" w14:textId="3F470494" w:rsidR="007577E7" w:rsidRPr="00EE06EE" w:rsidRDefault="00CA4D1C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>Staff management responsibility</w:t>
            </w:r>
          </w:p>
        </w:tc>
      </w:tr>
      <w:tr w:rsidR="00CA4D1C" w:rsidRPr="00EE06EE" w14:paraId="1CFAEF77" w14:textId="77777777" w:rsidTr="00EE06EE">
        <w:tc>
          <w:tcPr>
            <w:tcW w:w="8658" w:type="dxa"/>
          </w:tcPr>
          <w:p w14:paraId="6CCCEC0D" w14:textId="77777777" w:rsidR="00CA4D1C" w:rsidRPr="00EE06EE" w:rsidRDefault="00CA4D1C" w:rsidP="00EE06E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C889ED2" w14:textId="581E8D49" w:rsidR="00CA4D1C" w:rsidRPr="00EE06EE" w:rsidRDefault="00B50D4D" w:rsidP="00EE06E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E06EE">
              <w:rPr>
                <w:rFonts w:ascii="Arial" w:hAnsi="Arial" w:cs="Arial"/>
                <w:iCs/>
                <w:sz w:val="22"/>
                <w:szCs w:val="22"/>
              </w:rPr>
              <w:t>The role doesn’t involve any direct</w:t>
            </w:r>
            <w:r w:rsidR="00762D3C" w:rsidRPr="00EE06EE">
              <w:rPr>
                <w:rFonts w:ascii="Arial" w:hAnsi="Arial" w:cs="Arial"/>
                <w:iCs/>
                <w:sz w:val="22"/>
                <w:szCs w:val="22"/>
              </w:rPr>
              <w:t xml:space="preserve"> line management responsibility</w:t>
            </w:r>
            <w:r w:rsidR="006F1005" w:rsidRPr="00EE06EE">
              <w:rPr>
                <w:rFonts w:ascii="Arial" w:hAnsi="Arial" w:cs="Arial"/>
                <w:iCs/>
                <w:sz w:val="22"/>
                <w:szCs w:val="22"/>
              </w:rPr>
              <w:t>, but the post</w:t>
            </w:r>
            <w:r w:rsidR="00D5191E" w:rsidRPr="00EE06EE">
              <w:rPr>
                <w:rFonts w:ascii="Arial" w:hAnsi="Arial" w:cs="Arial"/>
                <w:iCs/>
                <w:sz w:val="22"/>
                <w:szCs w:val="22"/>
              </w:rPr>
              <w:t>-</w:t>
            </w:r>
            <w:r w:rsidR="006F1005" w:rsidRPr="00EE06EE">
              <w:rPr>
                <w:rFonts w:ascii="Arial" w:hAnsi="Arial" w:cs="Arial"/>
                <w:iCs/>
                <w:sz w:val="22"/>
                <w:szCs w:val="22"/>
              </w:rPr>
              <w:t>holder will be expected to occasionally deputise for the Head of Research Funding in their absence.</w:t>
            </w:r>
          </w:p>
          <w:p w14:paraId="70418792" w14:textId="77777777" w:rsidR="00CA4D1C" w:rsidRPr="00EE06EE" w:rsidRDefault="00CA4D1C" w:rsidP="00EE06E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1C172C8" w14:textId="77777777" w:rsidR="00CA4D1C" w:rsidRPr="00EE06EE" w:rsidRDefault="00CA4D1C" w:rsidP="00EE06EE">
      <w:pPr>
        <w:rPr>
          <w:rFonts w:ascii="Arial" w:hAnsi="Arial" w:cs="Arial"/>
          <w:sz w:val="22"/>
          <w:szCs w:val="22"/>
        </w:rPr>
      </w:pPr>
    </w:p>
    <w:p w14:paraId="62AD2925" w14:textId="77777777" w:rsidR="00EE06EE" w:rsidRDefault="00EE06E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CA4D1C" w:rsidRPr="00EE06EE" w14:paraId="5898EC96" w14:textId="77777777" w:rsidTr="00EE06EE">
        <w:tc>
          <w:tcPr>
            <w:tcW w:w="8658" w:type="dxa"/>
            <w:shd w:val="clear" w:color="auto" w:fill="DAEEF3"/>
          </w:tcPr>
          <w:p w14:paraId="791C954F" w14:textId="1CA0DF8F" w:rsidR="007577E7" w:rsidRPr="00EE06EE" w:rsidRDefault="00CA4D1C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 xml:space="preserve">Special conditions </w:t>
            </w:r>
          </w:p>
        </w:tc>
      </w:tr>
      <w:tr w:rsidR="00CA4D1C" w:rsidRPr="00EE06EE" w14:paraId="307B5A50" w14:textId="77777777" w:rsidTr="00EE06EE">
        <w:tc>
          <w:tcPr>
            <w:tcW w:w="8658" w:type="dxa"/>
          </w:tcPr>
          <w:p w14:paraId="7DB91E1D" w14:textId="77777777" w:rsidR="00CA4D1C" w:rsidRPr="00EE06EE" w:rsidRDefault="00CA4D1C" w:rsidP="00EE06E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1C546C1" w14:textId="05DD5045" w:rsidR="00CA4D1C" w:rsidRPr="00EE06EE" w:rsidRDefault="00762D3C" w:rsidP="00EE06E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E06EE">
              <w:rPr>
                <w:rFonts w:ascii="Arial" w:hAnsi="Arial" w:cs="Arial"/>
                <w:iCs/>
                <w:sz w:val="22"/>
                <w:szCs w:val="22"/>
              </w:rPr>
              <w:t>None</w:t>
            </w:r>
          </w:p>
          <w:p w14:paraId="48383CA5" w14:textId="77777777" w:rsidR="00CA4D1C" w:rsidRPr="00EE06EE" w:rsidRDefault="00CA4D1C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AC4EFB5" w14:textId="070936A3" w:rsidR="00CA4D1C" w:rsidRPr="00EE06EE" w:rsidRDefault="00CA4D1C" w:rsidP="00EE06E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7968"/>
      </w:tblGrid>
      <w:tr w:rsidR="00CA4D1C" w:rsidRPr="00EE06EE" w14:paraId="11B98F0C" w14:textId="77777777" w:rsidTr="00EE06EE">
        <w:tc>
          <w:tcPr>
            <w:tcW w:w="8658" w:type="dxa"/>
            <w:gridSpan w:val="2"/>
            <w:shd w:val="clear" w:color="auto" w:fill="DAEEF3"/>
          </w:tcPr>
          <w:p w14:paraId="0C7F7BB5" w14:textId="0781CECE" w:rsidR="007577E7" w:rsidRPr="00EE06EE" w:rsidRDefault="00CA4D1C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</w:tc>
      </w:tr>
      <w:tr w:rsidR="00CA4D1C" w:rsidRPr="00EE06EE" w14:paraId="167D39F8" w14:textId="77777777" w:rsidTr="00EE06EE">
        <w:tc>
          <w:tcPr>
            <w:tcW w:w="8658" w:type="dxa"/>
            <w:gridSpan w:val="2"/>
          </w:tcPr>
          <w:p w14:paraId="6B25716C" w14:textId="499EAD3A" w:rsidR="00CA4D1C" w:rsidRPr="00EE06EE" w:rsidRDefault="00762D3C" w:rsidP="00EE06EE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Leadership</w:t>
            </w:r>
          </w:p>
        </w:tc>
      </w:tr>
      <w:tr w:rsidR="00CA4D1C" w:rsidRPr="00EE06EE" w14:paraId="51C0935D" w14:textId="77777777" w:rsidTr="00EE06EE">
        <w:tc>
          <w:tcPr>
            <w:tcW w:w="472" w:type="dxa"/>
          </w:tcPr>
          <w:p w14:paraId="5D258AC7" w14:textId="77777777" w:rsidR="00CA4D1C" w:rsidRPr="00EE06EE" w:rsidRDefault="00CA4D1C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186" w:type="dxa"/>
          </w:tcPr>
          <w:p w14:paraId="1DDD66E1" w14:textId="3059B5DD" w:rsidR="00CC7A60" w:rsidRPr="00EE06EE" w:rsidRDefault="00762D3C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Lead the investigation into</w:t>
            </w:r>
            <w:r w:rsidR="00A504FA" w:rsidRPr="00EE06EE">
              <w:rPr>
                <w:rFonts w:ascii="Arial" w:hAnsi="Arial" w:cs="Arial"/>
                <w:sz w:val="22"/>
                <w:szCs w:val="22"/>
              </w:rPr>
              <w:t xml:space="preserve"> research</w:t>
            </w:r>
            <w:r w:rsidR="005320D4" w:rsidRPr="00EE06EE">
              <w:rPr>
                <w:rFonts w:ascii="Arial" w:hAnsi="Arial" w:cs="Arial"/>
                <w:sz w:val="22"/>
                <w:szCs w:val="22"/>
              </w:rPr>
              <w:t xml:space="preserve"> project</w:t>
            </w:r>
            <w:r w:rsidRPr="00EE06EE">
              <w:rPr>
                <w:rFonts w:ascii="Arial" w:hAnsi="Arial" w:cs="Arial"/>
                <w:sz w:val="22"/>
                <w:szCs w:val="22"/>
              </w:rPr>
              <w:t xml:space="preserve"> recovery</w:t>
            </w:r>
            <w:r w:rsidR="00A504FA" w:rsidRPr="00EE06EE">
              <w:rPr>
                <w:rFonts w:ascii="Arial" w:hAnsi="Arial" w:cs="Arial"/>
                <w:sz w:val="22"/>
                <w:szCs w:val="22"/>
              </w:rPr>
              <w:t xml:space="preserve"> rates</w:t>
            </w:r>
            <w:r w:rsidRPr="00EE06EE">
              <w:rPr>
                <w:rFonts w:ascii="Arial" w:hAnsi="Arial" w:cs="Arial"/>
                <w:sz w:val="22"/>
                <w:szCs w:val="22"/>
              </w:rPr>
              <w:t>, identifying key levers for improvement.</w:t>
            </w:r>
          </w:p>
        </w:tc>
      </w:tr>
      <w:tr w:rsidR="00CA4D1C" w:rsidRPr="00EE06EE" w14:paraId="42E20174" w14:textId="77777777" w:rsidTr="00EE06EE">
        <w:tc>
          <w:tcPr>
            <w:tcW w:w="472" w:type="dxa"/>
          </w:tcPr>
          <w:p w14:paraId="63E23784" w14:textId="77777777" w:rsidR="00CA4D1C" w:rsidRPr="00EE06EE" w:rsidRDefault="00CA4D1C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186" w:type="dxa"/>
          </w:tcPr>
          <w:p w14:paraId="4900E871" w14:textId="2996DE35" w:rsidR="00CC7A60" w:rsidRPr="00EE06EE" w:rsidRDefault="00762D3C" w:rsidP="00EE06E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06EE">
              <w:rPr>
                <w:rFonts w:ascii="Arial" w:hAnsi="Arial" w:cs="Arial"/>
                <w:bCs/>
                <w:sz w:val="22"/>
                <w:szCs w:val="22"/>
              </w:rPr>
              <w:t>Develop and deliver a comprehensive action plan to enhance</w:t>
            </w:r>
            <w:r w:rsidR="0033497F" w:rsidRPr="00EE06EE">
              <w:rPr>
                <w:rFonts w:ascii="Arial" w:hAnsi="Arial" w:cs="Arial"/>
                <w:bCs/>
                <w:sz w:val="22"/>
                <w:szCs w:val="22"/>
              </w:rPr>
              <w:t xml:space="preserve"> research project</w:t>
            </w:r>
            <w:r w:rsidRPr="00EE06EE">
              <w:rPr>
                <w:rFonts w:ascii="Arial" w:hAnsi="Arial" w:cs="Arial"/>
                <w:bCs/>
                <w:sz w:val="22"/>
                <w:szCs w:val="22"/>
              </w:rPr>
              <w:t xml:space="preserve"> cost recovery, informed by sector benchmarking and internal analysis.</w:t>
            </w:r>
          </w:p>
        </w:tc>
      </w:tr>
      <w:tr w:rsidR="00CA4D1C" w:rsidRPr="00EE06EE" w14:paraId="48C566B2" w14:textId="77777777" w:rsidTr="00EE06EE">
        <w:tc>
          <w:tcPr>
            <w:tcW w:w="472" w:type="dxa"/>
          </w:tcPr>
          <w:p w14:paraId="735EA723" w14:textId="77777777" w:rsidR="00CA4D1C" w:rsidRPr="00EE06EE" w:rsidRDefault="00CA4D1C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186" w:type="dxa"/>
          </w:tcPr>
          <w:p w14:paraId="364D265C" w14:textId="105A043A" w:rsidR="00762D3C" w:rsidRPr="00EE06EE" w:rsidRDefault="00762D3C" w:rsidP="00EE06E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06EE">
              <w:rPr>
                <w:rFonts w:ascii="Arial" w:hAnsi="Arial" w:cs="Arial"/>
                <w:bCs/>
                <w:sz w:val="22"/>
                <w:szCs w:val="22"/>
              </w:rPr>
              <w:t>Provide advice and strategic recommendations to senior stakeholders.</w:t>
            </w:r>
          </w:p>
        </w:tc>
      </w:tr>
      <w:tr w:rsidR="00762D3C" w:rsidRPr="00EE06EE" w14:paraId="5E1C2BC1" w14:textId="77777777" w:rsidTr="00EE06EE">
        <w:tc>
          <w:tcPr>
            <w:tcW w:w="8658" w:type="dxa"/>
            <w:gridSpan w:val="2"/>
          </w:tcPr>
          <w:p w14:paraId="018172C2" w14:textId="1CA366F8" w:rsidR="00762D3C" w:rsidRPr="00EE06EE" w:rsidRDefault="00762D3C" w:rsidP="00EE06EE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Collaboration &amp; Stakeholder Engagement</w:t>
            </w:r>
          </w:p>
        </w:tc>
      </w:tr>
      <w:tr w:rsidR="00CA4D1C" w:rsidRPr="00EE06EE" w14:paraId="65611C5E" w14:textId="77777777" w:rsidTr="00EE06EE">
        <w:tc>
          <w:tcPr>
            <w:tcW w:w="472" w:type="dxa"/>
          </w:tcPr>
          <w:p w14:paraId="58019B3F" w14:textId="77777777" w:rsidR="00CA4D1C" w:rsidRPr="00EE06EE" w:rsidRDefault="00CA4D1C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186" w:type="dxa"/>
          </w:tcPr>
          <w:p w14:paraId="2FB59D52" w14:textId="56B48ABE" w:rsidR="00762D3C" w:rsidRPr="00EE06EE" w:rsidRDefault="00762D3C" w:rsidP="00EE06E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06EE">
              <w:rPr>
                <w:rFonts w:ascii="Arial" w:hAnsi="Arial" w:cs="Arial"/>
                <w:bCs/>
                <w:sz w:val="22"/>
                <w:szCs w:val="22"/>
              </w:rPr>
              <w:t>Work closely with the Head of Research Funding, Pre-Award and Post-Award Managers, and the Director of Research &amp; Impact Services.</w:t>
            </w:r>
          </w:p>
        </w:tc>
      </w:tr>
      <w:tr w:rsidR="00CA4D1C" w:rsidRPr="00EE06EE" w14:paraId="5BE7F611" w14:textId="77777777" w:rsidTr="00EE06EE">
        <w:tc>
          <w:tcPr>
            <w:tcW w:w="472" w:type="dxa"/>
          </w:tcPr>
          <w:p w14:paraId="598A2A39" w14:textId="77777777" w:rsidR="00CA4D1C" w:rsidRPr="00EE06EE" w:rsidRDefault="00CA4D1C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186" w:type="dxa"/>
          </w:tcPr>
          <w:p w14:paraId="44F3E6BF" w14:textId="3AC65EDC" w:rsidR="00762D3C" w:rsidRPr="00EE06EE" w:rsidRDefault="00762D3C" w:rsidP="00EE06E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06EE">
              <w:rPr>
                <w:rFonts w:ascii="Arial" w:hAnsi="Arial" w:cs="Arial"/>
                <w:bCs/>
                <w:sz w:val="22"/>
                <w:szCs w:val="22"/>
              </w:rPr>
              <w:t>Engage academic departments and research centres to understand operational practices and barriers to cost recovery</w:t>
            </w:r>
            <w:r w:rsidR="00712812" w:rsidRPr="00EE06EE">
              <w:rPr>
                <w:rFonts w:ascii="Arial" w:hAnsi="Arial" w:cs="Arial"/>
                <w:bCs/>
                <w:sz w:val="22"/>
                <w:szCs w:val="22"/>
              </w:rPr>
              <w:t xml:space="preserve"> on research projects</w:t>
            </w:r>
            <w:r w:rsidR="00130E88" w:rsidRPr="00EE06E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CA4D1C" w:rsidRPr="00EE06EE" w14:paraId="0A09E38E" w14:textId="77777777" w:rsidTr="00EE06EE">
        <w:tc>
          <w:tcPr>
            <w:tcW w:w="472" w:type="dxa"/>
          </w:tcPr>
          <w:p w14:paraId="6CD7CB5B" w14:textId="77777777" w:rsidR="00CA4D1C" w:rsidRPr="00EE06EE" w:rsidRDefault="00CA4D1C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186" w:type="dxa"/>
          </w:tcPr>
          <w:p w14:paraId="20E4F14D" w14:textId="382991DC" w:rsidR="00CC7A60" w:rsidRPr="00EE06EE" w:rsidRDefault="00762D3C" w:rsidP="00EE06E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06EE">
              <w:rPr>
                <w:rFonts w:ascii="Arial" w:hAnsi="Arial" w:cs="Arial"/>
                <w:bCs/>
                <w:sz w:val="22"/>
                <w:szCs w:val="22"/>
              </w:rPr>
              <w:t>Liaise with Finance, Planning, and Systems teams to ensure alignment with institutional strategies and systems.</w:t>
            </w:r>
          </w:p>
        </w:tc>
      </w:tr>
      <w:tr w:rsidR="00F70D8C" w:rsidRPr="00EE06EE" w14:paraId="55D0AC44" w14:textId="77777777" w:rsidTr="00EE06EE">
        <w:tc>
          <w:tcPr>
            <w:tcW w:w="472" w:type="dxa"/>
          </w:tcPr>
          <w:p w14:paraId="59977C0D" w14:textId="2F7F3046" w:rsidR="00F70D8C" w:rsidRPr="00EE06EE" w:rsidRDefault="000873C8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186" w:type="dxa"/>
          </w:tcPr>
          <w:p w14:paraId="237EE2D4" w14:textId="5CDF1E40" w:rsidR="000873C8" w:rsidRPr="00EE06EE" w:rsidRDefault="001A2ED2" w:rsidP="00EE06E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06EE">
              <w:rPr>
                <w:rFonts w:ascii="Arial" w:hAnsi="Arial" w:cs="Arial"/>
                <w:bCs/>
                <w:sz w:val="22"/>
                <w:szCs w:val="22"/>
              </w:rPr>
              <w:t>Influenc</w:t>
            </w:r>
            <w:r w:rsidR="000873C8" w:rsidRPr="00EE06EE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  <w:r w:rsidRPr="00EE06EE">
              <w:rPr>
                <w:rFonts w:ascii="Arial" w:hAnsi="Arial" w:cs="Arial"/>
                <w:bCs/>
                <w:sz w:val="22"/>
                <w:szCs w:val="22"/>
              </w:rPr>
              <w:t>funders</w:t>
            </w:r>
            <w:r w:rsidR="000873C8" w:rsidRPr="00EE06E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EE06EE">
              <w:rPr>
                <w:rFonts w:ascii="Arial" w:hAnsi="Arial" w:cs="Arial"/>
                <w:bCs/>
                <w:sz w:val="22"/>
                <w:szCs w:val="22"/>
              </w:rPr>
              <w:t>discussing the impact of indexation rates</w:t>
            </w:r>
            <w:r w:rsidR="000873C8" w:rsidRPr="00EE06EE">
              <w:rPr>
                <w:rFonts w:ascii="Arial" w:hAnsi="Arial" w:cs="Arial"/>
                <w:bCs/>
                <w:sz w:val="22"/>
                <w:szCs w:val="22"/>
              </w:rPr>
              <w:t xml:space="preserve"> and the difference between value for money and cost.</w:t>
            </w:r>
          </w:p>
        </w:tc>
      </w:tr>
      <w:tr w:rsidR="00E34F24" w:rsidRPr="00EE06EE" w14:paraId="4D89E37D" w14:textId="77777777" w:rsidTr="00EE06EE">
        <w:tc>
          <w:tcPr>
            <w:tcW w:w="8658" w:type="dxa"/>
            <w:gridSpan w:val="2"/>
          </w:tcPr>
          <w:p w14:paraId="4D5B95AD" w14:textId="7B9C3CDC" w:rsidR="00E34F24" w:rsidRPr="00EE06EE" w:rsidRDefault="00E34F24" w:rsidP="00EE06EE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Policy</w:t>
            </w:r>
            <w:r w:rsidR="00D015A1" w:rsidRPr="00EE06E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&amp; Process</w:t>
            </w:r>
            <w:r w:rsidRPr="00EE06E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Development</w:t>
            </w:r>
          </w:p>
        </w:tc>
      </w:tr>
      <w:tr w:rsidR="00E34F24" w:rsidRPr="00EE06EE" w14:paraId="3F6E102F" w14:textId="77777777" w:rsidTr="00EE06EE">
        <w:tc>
          <w:tcPr>
            <w:tcW w:w="472" w:type="dxa"/>
          </w:tcPr>
          <w:p w14:paraId="143EB6B0" w14:textId="6E224128" w:rsidR="00E34F24" w:rsidRPr="00EE06EE" w:rsidRDefault="0019685C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186" w:type="dxa"/>
          </w:tcPr>
          <w:p w14:paraId="44F328B9" w14:textId="4E86F7A6" w:rsidR="00880AAC" w:rsidRPr="00EE06EE" w:rsidRDefault="007E5B32" w:rsidP="00EE06E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06EE">
              <w:rPr>
                <w:rFonts w:ascii="Arial" w:hAnsi="Arial" w:cs="Arial"/>
                <w:bCs/>
                <w:sz w:val="22"/>
                <w:szCs w:val="22"/>
              </w:rPr>
              <w:t xml:space="preserve">Develop internal </w:t>
            </w:r>
            <w:r w:rsidR="002F6217" w:rsidRPr="00EE06EE">
              <w:rPr>
                <w:rFonts w:ascii="Arial" w:hAnsi="Arial" w:cs="Arial"/>
                <w:bCs/>
                <w:sz w:val="22"/>
                <w:szCs w:val="22"/>
              </w:rPr>
              <w:t xml:space="preserve">research project </w:t>
            </w:r>
            <w:r w:rsidRPr="00EE06EE">
              <w:rPr>
                <w:rFonts w:ascii="Arial" w:hAnsi="Arial" w:cs="Arial"/>
                <w:bCs/>
                <w:sz w:val="22"/>
                <w:szCs w:val="22"/>
              </w:rPr>
              <w:t xml:space="preserve">costing positions (including for </w:t>
            </w:r>
            <w:r w:rsidR="00880AAC" w:rsidRPr="00EE06EE">
              <w:rPr>
                <w:rFonts w:ascii="Arial" w:hAnsi="Arial" w:cs="Arial"/>
                <w:bCs/>
                <w:sz w:val="22"/>
                <w:szCs w:val="22"/>
              </w:rPr>
              <w:t>equipment, facilities, professionals services staff, technicians, space etc) and relevant associated policies.</w:t>
            </w:r>
          </w:p>
        </w:tc>
      </w:tr>
      <w:tr w:rsidR="002133AE" w:rsidRPr="00EE06EE" w14:paraId="0B768D84" w14:textId="77777777" w:rsidTr="00EE06EE">
        <w:tc>
          <w:tcPr>
            <w:tcW w:w="472" w:type="dxa"/>
          </w:tcPr>
          <w:p w14:paraId="28A846AB" w14:textId="332A9404" w:rsidR="002133AE" w:rsidRPr="00EE06EE" w:rsidRDefault="0019685C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186" w:type="dxa"/>
          </w:tcPr>
          <w:p w14:paraId="5AABCA23" w14:textId="06A0A08B" w:rsidR="00B76C24" w:rsidRPr="00EE06EE" w:rsidRDefault="004456CE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Work with the BPKE team to support the d</w:t>
            </w:r>
            <w:r w:rsidR="002133AE" w:rsidRPr="00EE06EE">
              <w:rPr>
                <w:rFonts w:ascii="Arial" w:hAnsi="Arial" w:cs="Arial"/>
                <w:sz w:val="22"/>
                <w:szCs w:val="22"/>
              </w:rPr>
              <w:t>evelop</w:t>
            </w:r>
            <w:r w:rsidRPr="00EE06EE">
              <w:rPr>
                <w:rFonts w:ascii="Arial" w:hAnsi="Arial" w:cs="Arial"/>
                <w:sz w:val="22"/>
                <w:szCs w:val="22"/>
              </w:rPr>
              <w:t>ment of</w:t>
            </w:r>
            <w:r w:rsidR="002133AE" w:rsidRPr="00EE06EE">
              <w:rPr>
                <w:rFonts w:ascii="Arial" w:hAnsi="Arial" w:cs="Arial"/>
                <w:sz w:val="22"/>
                <w:szCs w:val="22"/>
              </w:rPr>
              <w:t xml:space="preserve"> a costing and pricing policy for contract research</w:t>
            </w:r>
            <w:r w:rsidR="00B76C24" w:rsidRPr="00EE06EE">
              <w:rPr>
                <w:rFonts w:ascii="Arial" w:hAnsi="Arial" w:cs="Arial"/>
                <w:sz w:val="22"/>
                <w:szCs w:val="22"/>
              </w:rPr>
              <w:t xml:space="preserve"> (including in relation to studentships, and subsidy control).</w:t>
            </w:r>
          </w:p>
        </w:tc>
      </w:tr>
      <w:tr w:rsidR="00D015A1" w:rsidRPr="00EE06EE" w14:paraId="16A505BB" w14:textId="77777777" w:rsidTr="00EE06EE">
        <w:tc>
          <w:tcPr>
            <w:tcW w:w="472" w:type="dxa"/>
          </w:tcPr>
          <w:p w14:paraId="0B5BF055" w14:textId="763204BE" w:rsidR="00D015A1" w:rsidRPr="00EE06EE" w:rsidRDefault="0019685C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186" w:type="dxa"/>
          </w:tcPr>
          <w:p w14:paraId="611FA90B" w14:textId="53F0C9B7" w:rsidR="0019685C" w:rsidRPr="00EE06EE" w:rsidRDefault="00D015A1" w:rsidP="00EE06E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06EE">
              <w:rPr>
                <w:rFonts w:ascii="Arial" w:hAnsi="Arial" w:cs="Arial"/>
                <w:bCs/>
                <w:sz w:val="22"/>
                <w:szCs w:val="22"/>
              </w:rPr>
              <w:t xml:space="preserve">Develop and implement better guidance for all colleagues </w:t>
            </w:r>
            <w:r w:rsidR="00F80A3B" w:rsidRPr="00EE06EE">
              <w:rPr>
                <w:rFonts w:ascii="Arial" w:hAnsi="Arial" w:cs="Arial"/>
                <w:bCs/>
                <w:sz w:val="22"/>
                <w:szCs w:val="22"/>
              </w:rPr>
              <w:t>involved in the research application and award lifecycle</w:t>
            </w:r>
            <w:r w:rsidR="0033497F" w:rsidRPr="00EE06EE">
              <w:rPr>
                <w:rFonts w:ascii="Arial" w:hAnsi="Arial" w:cs="Arial"/>
                <w:bCs/>
                <w:sz w:val="22"/>
                <w:szCs w:val="22"/>
              </w:rPr>
              <w:t xml:space="preserve">, working closely with the </w:t>
            </w:r>
            <w:r w:rsidR="000D3AEC" w:rsidRPr="00EE06EE">
              <w:rPr>
                <w:rFonts w:ascii="Arial" w:hAnsi="Arial" w:cs="Arial"/>
                <w:bCs/>
                <w:sz w:val="22"/>
                <w:szCs w:val="22"/>
              </w:rPr>
              <w:t>Costing Accountant to enhance institutional understanding of TRAC and the factors that influence it</w:t>
            </w:r>
          </w:p>
        </w:tc>
      </w:tr>
      <w:tr w:rsidR="00762D3C" w:rsidRPr="00EE06EE" w14:paraId="5F553622" w14:textId="77777777" w:rsidTr="00EE06EE">
        <w:tc>
          <w:tcPr>
            <w:tcW w:w="8658" w:type="dxa"/>
            <w:gridSpan w:val="2"/>
          </w:tcPr>
          <w:p w14:paraId="39F74D17" w14:textId="1FEBA7A2" w:rsidR="00762D3C" w:rsidRPr="00EE06EE" w:rsidRDefault="00762D3C" w:rsidP="00EE06EE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Analysis &amp; Benchmarking</w:t>
            </w:r>
          </w:p>
        </w:tc>
      </w:tr>
      <w:tr w:rsidR="00BD3604" w:rsidRPr="00EE06EE" w14:paraId="376084F5" w14:textId="77777777" w:rsidTr="00EE06EE">
        <w:tc>
          <w:tcPr>
            <w:tcW w:w="472" w:type="dxa"/>
          </w:tcPr>
          <w:p w14:paraId="7E6F5A63" w14:textId="147CA5D6" w:rsidR="00BD3604" w:rsidRPr="00EE06EE" w:rsidRDefault="00E55C06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8186" w:type="dxa"/>
          </w:tcPr>
          <w:p w14:paraId="10EB8BD8" w14:textId="4B9FAD01" w:rsidR="00BD3604" w:rsidRPr="00EE06EE" w:rsidRDefault="00BD3604" w:rsidP="00EE06E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06EE">
              <w:rPr>
                <w:rFonts w:ascii="Arial" w:hAnsi="Arial" w:cs="Arial"/>
                <w:bCs/>
                <w:sz w:val="22"/>
                <w:szCs w:val="22"/>
              </w:rPr>
              <w:t>Analysis of pre- and post-award approvals including benefits analyses, feasibility, risk assessments, workflows and RACI.</w:t>
            </w:r>
          </w:p>
        </w:tc>
      </w:tr>
      <w:tr w:rsidR="00CA4D1C" w:rsidRPr="00EE06EE" w14:paraId="3F20B033" w14:textId="77777777" w:rsidTr="00EE06EE">
        <w:tc>
          <w:tcPr>
            <w:tcW w:w="472" w:type="dxa"/>
          </w:tcPr>
          <w:p w14:paraId="386B6420" w14:textId="5A47E253" w:rsidR="00CA4D1C" w:rsidRPr="00EE06EE" w:rsidRDefault="0019685C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55C06" w:rsidRPr="00EE06E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186" w:type="dxa"/>
          </w:tcPr>
          <w:p w14:paraId="402DFBC6" w14:textId="2E13D17C" w:rsidR="00762D3C" w:rsidRPr="00EE06EE" w:rsidRDefault="00762D3C" w:rsidP="00EE06E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06EE">
              <w:rPr>
                <w:rFonts w:ascii="Arial" w:hAnsi="Arial" w:cs="Arial"/>
                <w:bCs/>
                <w:sz w:val="22"/>
                <w:szCs w:val="22"/>
              </w:rPr>
              <w:t xml:space="preserve">Analyse </w:t>
            </w:r>
            <w:r w:rsidR="000D3AEC" w:rsidRPr="00EE06EE">
              <w:rPr>
                <w:rFonts w:ascii="Arial" w:hAnsi="Arial" w:cs="Arial"/>
                <w:bCs/>
                <w:sz w:val="22"/>
                <w:szCs w:val="22"/>
              </w:rPr>
              <w:t xml:space="preserve">research project related </w:t>
            </w:r>
            <w:r w:rsidRPr="00EE06EE">
              <w:rPr>
                <w:rFonts w:ascii="Arial" w:hAnsi="Arial" w:cs="Arial"/>
                <w:bCs/>
                <w:sz w:val="22"/>
                <w:szCs w:val="22"/>
              </w:rPr>
              <w:t>TRAC data and financial performance metrics to identify trends and opportunities.</w:t>
            </w:r>
          </w:p>
        </w:tc>
      </w:tr>
      <w:tr w:rsidR="00CA4D1C" w:rsidRPr="00EE06EE" w14:paraId="2620A1E5" w14:textId="77777777" w:rsidTr="00EE06EE">
        <w:tc>
          <w:tcPr>
            <w:tcW w:w="472" w:type="dxa"/>
          </w:tcPr>
          <w:p w14:paraId="75EEE9F5" w14:textId="155CABD7" w:rsidR="00CA4D1C" w:rsidRPr="00EE06EE" w:rsidRDefault="0019685C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8186" w:type="dxa"/>
          </w:tcPr>
          <w:p w14:paraId="2F77E889" w14:textId="249FE039" w:rsidR="00CC7A60" w:rsidRPr="00EE06EE" w:rsidRDefault="00D008D4" w:rsidP="00EE06E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06EE">
              <w:rPr>
                <w:rFonts w:ascii="Arial" w:hAnsi="Arial" w:cs="Arial"/>
                <w:bCs/>
                <w:sz w:val="22"/>
                <w:szCs w:val="22"/>
              </w:rPr>
              <w:t>Present complex financial data in accessible formats for diverse audiences.</w:t>
            </w:r>
          </w:p>
        </w:tc>
      </w:tr>
      <w:tr w:rsidR="00D008D4" w:rsidRPr="00EE06EE" w14:paraId="1BB927F9" w14:textId="77777777" w:rsidTr="00EE06EE">
        <w:tc>
          <w:tcPr>
            <w:tcW w:w="8658" w:type="dxa"/>
            <w:gridSpan w:val="2"/>
          </w:tcPr>
          <w:p w14:paraId="35265C8C" w14:textId="34534564" w:rsidR="00D008D4" w:rsidRPr="00EE06EE" w:rsidRDefault="00D008D4" w:rsidP="00EE06EE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Monitoring &amp; Reporting</w:t>
            </w:r>
          </w:p>
        </w:tc>
      </w:tr>
      <w:tr w:rsidR="00700462" w:rsidRPr="00EE06EE" w14:paraId="5C05E40D" w14:textId="77777777" w:rsidTr="00EE06EE">
        <w:tc>
          <w:tcPr>
            <w:tcW w:w="472" w:type="dxa"/>
          </w:tcPr>
          <w:p w14:paraId="4CEF84AA" w14:textId="6D34188A" w:rsidR="00700462" w:rsidRPr="00EE06EE" w:rsidRDefault="00700462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19685C" w:rsidRPr="00EE06E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186" w:type="dxa"/>
          </w:tcPr>
          <w:p w14:paraId="613226C3" w14:textId="24AA40AF" w:rsidR="00CC7A60" w:rsidRPr="00EE06EE" w:rsidRDefault="00D008D4" w:rsidP="00EE06E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06EE">
              <w:rPr>
                <w:rFonts w:ascii="Arial" w:hAnsi="Arial" w:cs="Arial"/>
                <w:bCs/>
                <w:sz w:val="22"/>
                <w:szCs w:val="22"/>
              </w:rPr>
              <w:t>Produce regular progress reports for senior leadership and relevant governance bodies</w:t>
            </w:r>
            <w:r w:rsidR="00233187" w:rsidRPr="00EE06EE">
              <w:rPr>
                <w:rFonts w:ascii="Arial" w:hAnsi="Arial" w:cs="Arial"/>
                <w:bCs/>
                <w:sz w:val="22"/>
                <w:szCs w:val="22"/>
              </w:rPr>
              <w:t xml:space="preserve"> (e.g. Research &amp; Knowledge Exchange Committee, </w:t>
            </w:r>
            <w:r w:rsidR="00702961" w:rsidRPr="00EE06EE">
              <w:rPr>
                <w:rFonts w:ascii="Arial" w:hAnsi="Arial" w:cs="Arial"/>
                <w:bCs/>
                <w:sz w:val="22"/>
                <w:szCs w:val="22"/>
              </w:rPr>
              <w:t>Research Governance Steering Group, Audit &amp; Risk Assurance Committee)</w:t>
            </w:r>
            <w:r w:rsidRPr="00EE06E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D008D4" w:rsidRPr="00EE06EE" w14:paraId="6188CF8A" w14:textId="77777777" w:rsidTr="00EE06EE">
        <w:tc>
          <w:tcPr>
            <w:tcW w:w="472" w:type="dxa"/>
          </w:tcPr>
          <w:p w14:paraId="6886F6EB" w14:textId="114D287A" w:rsidR="00D008D4" w:rsidRPr="00EE06EE" w:rsidRDefault="00D008D4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19685C" w:rsidRPr="00EE06EE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186" w:type="dxa"/>
          </w:tcPr>
          <w:p w14:paraId="1CBB8923" w14:textId="20E7A8A4" w:rsidR="00D008D4" w:rsidRPr="00EE06EE" w:rsidRDefault="00D008D4" w:rsidP="00EE06E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E06EE">
              <w:rPr>
                <w:rFonts w:ascii="Arial" w:hAnsi="Arial" w:cs="Arial"/>
                <w:bCs/>
                <w:sz w:val="22"/>
                <w:szCs w:val="22"/>
              </w:rPr>
              <w:t>Monitor the impact of implemented changes and refine the action plan as needed.</w:t>
            </w:r>
            <w:r w:rsidR="00E55C06" w:rsidRPr="00EE06EE">
              <w:rPr>
                <w:rFonts w:ascii="Arial" w:hAnsi="Arial" w:cs="Arial"/>
                <w:bCs/>
                <w:sz w:val="22"/>
                <w:szCs w:val="22"/>
              </w:rPr>
              <w:t xml:space="preserve"> This will involve collaboration with the Data &amp; Insights project currently under way at the University.</w:t>
            </w:r>
          </w:p>
        </w:tc>
      </w:tr>
      <w:tr w:rsidR="00700462" w:rsidRPr="00EE06EE" w14:paraId="058C9A5C" w14:textId="77777777" w:rsidTr="00EE06EE">
        <w:tc>
          <w:tcPr>
            <w:tcW w:w="8658" w:type="dxa"/>
            <w:gridSpan w:val="2"/>
          </w:tcPr>
          <w:p w14:paraId="690A9F10" w14:textId="77777777" w:rsidR="00700462" w:rsidRPr="00EE06EE" w:rsidRDefault="00700462" w:rsidP="00EE06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50892" w14:textId="77777777" w:rsidR="00FE0CD2" w:rsidRPr="00EE06EE" w:rsidRDefault="00700462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</w:t>
            </w:r>
            <w:r w:rsidR="00FE0CD2" w:rsidRPr="00EE06EE">
              <w:rPr>
                <w:rFonts w:ascii="Arial" w:hAnsi="Arial" w:cs="Arial"/>
                <w:sz w:val="22"/>
                <w:szCs w:val="22"/>
              </w:rPr>
              <w:t xml:space="preserve">You are required to follow all University policies and procedures at all times and take account of University guidance. </w:t>
            </w:r>
          </w:p>
          <w:p w14:paraId="25A6A820" w14:textId="77777777" w:rsidR="00700462" w:rsidRPr="00EE06EE" w:rsidRDefault="00700462" w:rsidP="00EE06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E0A80E0" w14:textId="77777777" w:rsidR="00A9491E" w:rsidRPr="00EE06EE" w:rsidRDefault="00A9491E" w:rsidP="00EE06EE">
      <w:pPr>
        <w:rPr>
          <w:rFonts w:ascii="Arial" w:hAnsi="Arial" w:cs="Arial"/>
          <w:sz w:val="22"/>
          <w:szCs w:val="22"/>
        </w:rPr>
      </w:pPr>
    </w:p>
    <w:p w14:paraId="73FF202F" w14:textId="77777777" w:rsidR="00A9491E" w:rsidRPr="00EE06EE" w:rsidRDefault="00A9491E" w:rsidP="00EE06EE">
      <w:pPr>
        <w:rPr>
          <w:rFonts w:ascii="Arial" w:hAnsi="Arial" w:cs="Arial"/>
          <w:sz w:val="22"/>
          <w:szCs w:val="22"/>
        </w:rPr>
        <w:sectPr w:rsidR="00A9491E" w:rsidRPr="00EE06EE" w:rsidSect="00EE06EE">
          <w:footerReference w:type="default" r:id="rId8"/>
          <w:pgSz w:w="11906" w:h="16838"/>
          <w:pgMar w:top="1224" w:right="1728" w:bottom="1008" w:left="1728" w:header="706" w:footer="706" w:gutter="0"/>
          <w:cols w:space="708"/>
          <w:docGrid w:linePitch="360"/>
        </w:sectPr>
      </w:pPr>
    </w:p>
    <w:p w14:paraId="1D82B35F" w14:textId="7BDEE7F5" w:rsidR="00A9491E" w:rsidRPr="00EE06EE" w:rsidRDefault="00EE06EE" w:rsidP="00EE06EE">
      <w:pPr>
        <w:rPr>
          <w:rFonts w:ascii="Arial" w:hAnsi="Arial" w:cs="Arial"/>
          <w:b/>
          <w:sz w:val="22"/>
          <w:szCs w:val="22"/>
        </w:rPr>
      </w:pPr>
      <w:r w:rsidRPr="00EE06EE"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106B37B8" wp14:editId="23A7EA94">
            <wp:extent cx="1457325" cy="5429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80693" w14:textId="77777777" w:rsidR="00A9491E" w:rsidRPr="00EE06EE" w:rsidRDefault="00A9491E" w:rsidP="00EE06E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E06EE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2C90FEAF" w14:textId="77777777" w:rsidR="00FB491F" w:rsidRPr="00EE06EE" w:rsidRDefault="00FB491F" w:rsidP="00EE06EE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2"/>
        <w:gridCol w:w="1371"/>
        <w:gridCol w:w="1347"/>
      </w:tblGrid>
      <w:tr w:rsidR="00FB491F" w:rsidRPr="00EE06EE" w14:paraId="7DC9C5C3" w14:textId="77777777" w:rsidTr="005C6268">
        <w:tc>
          <w:tcPr>
            <w:tcW w:w="6487" w:type="dxa"/>
            <w:shd w:val="clear" w:color="auto" w:fill="DAEEF3"/>
          </w:tcPr>
          <w:p w14:paraId="51874BC7" w14:textId="77777777" w:rsidR="00FB491F" w:rsidRPr="00EE06EE" w:rsidRDefault="00FB491F" w:rsidP="00EE06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418" w:type="dxa"/>
            <w:shd w:val="clear" w:color="auto" w:fill="DAEEF3"/>
          </w:tcPr>
          <w:p w14:paraId="4E72E0B7" w14:textId="77777777" w:rsidR="00FB491F" w:rsidRPr="00EE06EE" w:rsidRDefault="00FB491F" w:rsidP="00EE06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381" w:type="dxa"/>
            <w:shd w:val="clear" w:color="auto" w:fill="DAEEF3"/>
          </w:tcPr>
          <w:p w14:paraId="2823BB00" w14:textId="77777777" w:rsidR="00FB491F" w:rsidRPr="00EE06EE" w:rsidRDefault="00FB491F" w:rsidP="00EE06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7577E7" w:rsidRPr="00EE06EE" w14:paraId="0EC3B2FE" w14:textId="77777777" w:rsidTr="005C6268">
        <w:tc>
          <w:tcPr>
            <w:tcW w:w="6487" w:type="dxa"/>
            <w:shd w:val="clear" w:color="auto" w:fill="FFEAC1"/>
          </w:tcPr>
          <w:p w14:paraId="40B4D714" w14:textId="77777777" w:rsidR="00FB491F" w:rsidRPr="00EE06EE" w:rsidRDefault="00FB491F" w:rsidP="00EE06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1418" w:type="dxa"/>
            <w:shd w:val="clear" w:color="auto" w:fill="FFEAC1"/>
          </w:tcPr>
          <w:p w14:paraId="74AC033D" w14:textId="77777777" w:rsidR="00FB491F" w:rsidRPr="00EE06EE" w:rsidRDefault="00FB491F" w:rsidP="00EE06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FFEAC1"/>
          </w:tcPr>
          <w:p w14:paraId="0605275C" w14:textId="77777777" w:rsidR="00FB491F" w:rsidRPr="00EE06EE" w:rsidRDefault="00FB491F" w:rsidP="00EE06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B491F" w:rsidRPr="00EE06EE" w14:paraId="525D017B" w14:textId="77777777" w:rsidTr="005C6268">
        <w:tc>
          <w:tcPr>
            <w:tcW w:w="6487" w:type="dxa"/>
            <w:shd w:val="clear" w:color="auto" w:fill="auto"/>
          </w:tcPr>
          <w:p w14:paraId="173DFB17" w14:textId="19488D56" w:rsidR="00FB491F" w:rsidRPr="00EE06EE" w:rsidRDefault="0007144A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Good undergraduate or postgraduate</w:t>
            </w:r>
            <w:r w:rsidR="00D9355A" w:rsidRPr="00EE06EE">
              <w:rPr>
                <w:rFonts w:ascii="Arial" w:hAnsi="Arial" w:cs="Arial"/>
                <w:sz w:val="22"/>
                <w:szCs w:val="22"/>
              </w:rPr>
              <w:t xml:space="preserve"> degree or equivalent experience</w:t>
            </w:r>
          </w:p>
        </w:tc>
        <w:tc>
          <w:tcPr>
            <w:tcW w:w="1418" w:type="dxa"/>
            <w:shd w:val="clear" w:color="auto" w:fill="auto"/>
          </w:tcPr>
          <w:p w14:paraId="6781EF14" w14:textId="2663C89E" w:rsidR="00F00383" w:rsidRPr="00EE06EE" w:rsidRDefault="00D9355A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  <w:tc>
          <w:tcPr>
            <w:tcW w:w="1381" w:type="dxa"/>
            <w:shd w:val="clear" w:color="auto" w:fill="auto"/>
          </w:tcPr>
          <w:p w14:paraId="7EBDCC8C" w14:textId="223AD9C4" w:rsidR="00FB491F" w:rsidRPr="00EE06EE" w:rsidRDefault="00FB491F" w:rsidP="00EE06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791" w:rsidRPr="00EE06EE" w14:paraId="03954986" w14:textId="77777777" w:rsidTr="005C6268">
        <w:tc>
          <w:tcPr>
            <w:tcW w:w="6487" w:type="dxa"/>
            <w:shd w:val="clear" w:color="auto" w:fill="auto"/>
          </w:tcPr>
          <w:p w14:paraId="1FF83277" w14:textId="56A08738" w:rsidR="00830791" w:rsidRPr="00EE06EE" w:rsidRDefault="00EE528E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Accountancy qualification</w:t>
            </w:r>
          </w:p>
        </w:tc>
        <w:tc>
          <w:tcPr>
            <w:tcW w:w="1418" w:type="dxa"/>
            <w:shd w:val="clear" w:color="auto" w:fill="auto"/>
          </w:tcPr>
          <w:p w14:paraId="0FB4D28E" w14:textId="75471A26" w:rsidR="00830791" w:rsidRPr="00EE06EE" w:rsidRDefault="000617FA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  <w:tc>
          <w:tcPr>
            <w:tcW w:w="1381" w:type="dxa"/>
            <w:shd w:val="clear" w:color="auto" w:fill="auto"/>
          </w:tcPr>
          <w:p w14:paraId="26FE4477" w14:textId="77777777" w:rsidR="00830791" w:rsidRPr="00EE06EE" w:rsidRDefault="00830791" w:rsidP="00EE06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77E7" w:rsidRPr="00EE06EE" w14:paraId="4AF598B1" w14:textId="77777777" w:rsidTr="005C6268">
        <w:tc>
          <w:tcPr>
            <w:tcW w:w="6487" w:type="dxa"/>
            <w:shd w:val="clear" w:color="auto" w:fill="FFEAC1"/>
          </w:tcPr>
          <w:p w14:paraId="550EB7CE" w14:textId="77777777" w:rsidR="00FB491F" w:rsidRPr="00EE06EE" w:rsidRDefault="00FB491F" w:rsidP="00EE06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bCs/>
                <w:sz w:val="22"/>
                <w:szCs w:val="22"/>
              </w:rPr>
              <w:t>Experience/Knowledge</w:t>
            </w:r>
          </w:p>
        </w:tc>
        <w:tc>
          <w:tcPr>
            <w:tcW w:w="1418" w:type="dxa"/>
            <w:shd w:val="clear" w:color="auto" w:fill="FFEAC1"/>
          </w:tcPr>
          <w:p w14:paraId="30AE37CC" w14:textId="77777777" w:rsidR="00FB491F" w:rsidRPr="00EE06EE" w:rsidRDefault="00FB491F" w:rsidP="00EE06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FFEAC1"/>
          </w:tcPr>
          <w:p w14:paraId="269F5E69" w14:textId="77777777" w:rsidR="00FB491F" w:rsidRPr="00EE06EE" w:rsidRDefault="00FB491F" w:rsidP="00EE06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91F" w:rsidRPr="00EE06EE" w14:paraId="74E3D321" w14:textId="77777777" w:rsidTr="005C6268">
        <w:tc>
          <w:tcPr>
            <w:tcW w:w="6487" w:type="dxa"/>
            <w:shd w:val="clear" w:color="auto" w:fill="auto"/>
          </w:tcPr>
          <w:p w14:paraId="460AF45E" w14:textId="23790931" w:rsidR="001B5543" w:rsidRPr="00EE06EE" w:rsidRDefault="00150A10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Awareness</w:t>
            </w:r>
            <w:r w:rsidR="001B5543" w:rsidRPr="00EE06EE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7F1DA0" w:rsidRPr="00EE06EE">
              <w:rPr>
                <w:rFonts w:ascii="Arial" w:hAnsi="Arial" w:cs="Arial"/>
                <w:sz w:val="22"/>
                <w:szCs w:val="22"/>
              </w:rPr>
              <w:t xml:space="preserve">how </w:t>
            </w:r>
            <w:r w:rsidR="001B5543" w:rsidRPr="00EE06EE">
              <w:rPr>
                <w:rFonts w:ascii="Arial" w:hAnsi="Arial" w:cs="Arial"/>
                <w:sz w:val="22"/>
                <w:szCs w:val="22"/>
              </w:rPr>
              <w:t xml:space="preserve">TRAC </w:t>
            </w:r>
            <w:r w:rsidR="007F1DA0" w:rsidRPr="00EE06EE">
              <w:rPr>
                <w:rFonts w:ascii="Arial" w:hAnsi="Arial" w:cs="Arial"/>
                <w:sz w:val="22"/>
                <w:szCs w:val="22"/>
              </w:rPr>
              <w:t xml:space="preserve">is used in research project costing and funding </w:t>
            </w:r>
          </w:p>
        </w:tc>
        <w:tc>
          <w:tcPr>
            <w:tcW w:w="1418" w:type="dxa"/>
            <w:shd w:val="clear" w:color="auto" w:fill="auto"/>
          </w:tcPr>
          <w:p w14:paraId="2D4D9B1B" w14:textId="44A60685" w:rsidR="00FB491F" w:rsidRPr="00EE06EE" w:rsidRDefault="00866937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  <w:tc>
          <w:tcPr>
            <w:tcW w:w="1381" w:type="dxa"/>
            <w:shd w:val="clear" w:color="auto" w:fill="auto"/>
          </w:tcPr>
          <w:p w14:paraId="1544364D" w14:textId="3F6C9BE9" w:rsidR="00FB491F" w:rsidRPr="00EE06EE" w:rsidRDefault="00FB491F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B49" w:rsidRPr="00EE06EE" w14:paraId="40D9B875" w14:textId="77777777" w:rsidTr="005C6268">
        <w:tc>
          <w:tcPr>
            <w:tcW w:w="6487" w:type="dxa"/>
            <w:shd w:val="clear" w:color="auto" w:fill="auto"/>
          </w:tcPr>
          <w:p w14:paraId="4BBD546F" w14:textId="462B7F79" w:rsidR="00531B49" w:rsidRPr="00EE06EE" w:rsidDel="00531B49" w:rsidRDefault="00531B49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Understanding of research finance in the UK higher education sector</w:t>
            </w:r>
          </w:p>
        </w:tc>
        <w:tc>
          <w:tcPr>
            <w:tcW w:w="1418" w:type="dxa"/>
            <w:shd w:val="clear" w:color="auto" w:fill="auto"/>
          </w:tcPr>
          <w:p w14:paraId="395CFA79" w14:textId="6A3C7247" w:rsidR="00531B49" w:rsidRPr="00EE06EE" w:rsidRDefault="00D14835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  <w:tc>
          <w:tcPr>
            <w:tcW w:w="1381" w:type="dxa"/>
            <w:shd w:val="clear" w:color="auto" w:fill="auto"/>
          </w:tcPr>
          <w:p w14:paraId="3F01BDC3" w14:textId="77777777" w:rsidR="00531B49" w:rsidRPr="00EE06EE" w:rsidRDefault="00531B49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937" w:rsidRPr="00EE06EE" w14:paraId="191E5579" w14:textId="77777777" w:rsidTr="005C6268">
        <w:tc>
          <w:tcPr>
            <w:tcW w:w="6487" w:type="dxa"/>
            <w:shd w:val="clear" w:color="auto" w:fill="auto"/>
          </w:tcPr>
          <w:p w14:paraId="2A674E1B" w14:textId="6FC9DD3B" w:rsidR="00866937" w:rsidRPr="00EE06EE" w:rsidRDefault="00866937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Experience of interpreting and applying complex regulations and requirements related to research</w:t>
            </w:r>
          </w:p>
        </w:tc>
        <w:tc>
          <w:tcPr>
            <w:tcW w:w="1418" w:type="dxa"/>
            <w:shd w:val="clear" w:color="auto" w:fill="auto"/>
          </w:tcPr>
          <w:p w14:paraId="582C33EE" w14:textId="60A486AF" w:rsidR="00866937" w:rsidRPr="00EE06EE" w:rsidRDefault="00866937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  <w:tc>
          <w:tcPr>
            <w:tcW w:w="1381" w:type="dxa"/>
            <w:shd w:val="clear" w:color="auto" w:fill="auto"/>
          </w:tcPr>
          <w:p w14:paraId="32D10E4C" w14:textId="77777777" w:rsidR="00866937" w:rsidRPr="00EE06EE" w:rsidRDefault="00866937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543" w:rsidRPr="00EE06EE" w14:paraId="7652406D" w14:textId="77777777" w:rsidTr="005C6268">
        <w:tc>
          <w:tcPr>
            <w:tcW w:w="6487" w:type="dxa"/>
            <w:shd w:val="clear" w:color="auto" w:fill="auto"/>
          </w:tcPr>
          <w:p w14:paraId="081ABC91" w14:textId="66DE7170" w:rsidR="001B5543" w:rsidRPr="00EE06EE" w:rsidRDefault="001B5543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Demonstrable experience in financial analysis, costing, or research operations</w:t>
            </w:r>
          </w:p>
        </w:tc>
        <w:tc>
          <w:tcPr>
            <w:tcW w:w="1418" w:type="dxa"/>
            <w:shd w:val="clear" w:color="auto" w:fill="auto"/>
          </w:tcPr>
          <w:p w14:paraId="04C0CEC3" w14:textId="5135FB09" w:rsidR="001B5543" w:rsidRPr="00EE06EE" w:rsidRDefault="00D9355A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  <w:tc>
          <w:tcPr>
            <w:tcW w:w="1381" w:type="dxa"/>
            <w:shd w:val="clear" w:color="auto" w:fill="auto"/>
          </w:tcPr>
          <w:p w14:paraId="73C8B846" w14:textId="77777777" w:rsidR="001B5543" w:rsidRPr="00EE06EE" w:rsidRDefault="001B5543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027D" w:rsidRPr="00EE06EE" w14:paraId="32048F6C" w14:textId="77777777" w:rsidTr="005C6268">
        <w:tc>
          <w:tcPr>
            <w:tcW w:w="6487" w:type="dxa"/>
            <w:shd w:val="clear" w:color="auto" w:fill="auto"/>
          </w:tcPr>
          <w:p w14:paraId="4717D8A8" w14:textId="029122E4" w:rsidR="00DC027D" w:rsidRPr="00EE06EE" w:rsidRDefault="00DC027D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An understanding of HEI benchmarking practices</w:t>
            </w:r>
          </w:p>
        </w:tc>
        <w:tc>
          <w:tcPr>
            <w:tcW w:w="1418" w:type="dxa"/>
            <w:shd w:val="clear" w:color="auto" w:fill="auto"/>
          </w:tcPr>
          <w:p w14:paraId="78DF6E28" w14:textId="32D9CC30" w:rsidR="00DC027D" w:rsidRPr="00EE06EE" w:rsidRDefault="00815BE4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  <w:tc>
          <w:tcPr>
            <w:tcW w:w="1381" w:type="dxa"/>
            <w:shd w:val="clear" w:color="auto" w:fill="auto"/>
          </w:tcPr>
          <w:p w14:paraId="2E91FF86" w14:textId="77777777" w:rsidR="00DC027D" w:rsidRPr="00EE06EE" w:rsidRDefault="00DC027D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543" w:rsidRPr="00EE06EE" w14:paraId="7D603CCC" w14:textId="77777777" w:rsidTr="005C6268">
        <w:tc>
          <w:tcPr>
            <w:tcW w:w="6487" w:type="dxa"/>
            <w:shd w:val="clear" w:color="auto" w:fill="auto"/>
          </w:tcPr>
          <w:p w14:paraId="10BDCAD5" w14:textId="7EB2CB19" w:rsidR="001B5543" w:rsidRPr="00EE06EE" w:rsidRDefault="001B5543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Proven ability to lead cross-functional projects and influence senior stakeholders</w:t>
            </w:r>
          </w:p>
        </w:tc>
        <w:tc>
          <w:tcPr>
            <w:tcW w:w="1418" w:type="dxa"/>
            <w:shd w:val="clear" w:color="auto" w:fill="auto"/>
          </w:tcPr>
          <w:p w14:paraId="5C1AF697" w14:textId="77777777" w:rsidR="001B5543" w:rsidRPr="00EE06EE" w:rsidRDefault="001B5543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</w:tcPr>
          <w:p w14:paraId="1172D4F4" w14:textId="085E8C87" w:rsidR="001B5543" w:rsidRPr="00EE06EE" w:rsidRDefault="00D9355A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</w:tr>
      <w:tr w:rsidR="001B5543" w:rsidRPr="00EE06EE" w14:paraId="1FCAEBC0" w14:textId="77777777" w:rsidTr="005C6268">
        <w:tc>
          <w:tcPr>
            <w:tcW w:w="6487" w:type="dxa"/>
            <w:shd w:val="clear" w:color="auto" w:fill="auto"/>
          </w:tcPr>
          <w:p w14:paraId="3674A34A" w14:textId="2C267020" w:rsidR="001B5543" w:rsidRPr="00EE06EE" w:rsidRDefault="001B5543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Experience with systems implementation or digital transformation projects</w:t>
            </w:r>
          </w:p>
        </w:tc>
        <w:tc>
          <w:tcPr>
            <w:tcW w:w="1418" w:type="dxa"/>
            <w:shd w:val="clear" w:color="auto" w:fill="auto"/>
          </w:tcPr>
          <w:p w14:paraId="33A92121" w14:textId="77777777" w:rsidR="001B5543" w:rsidRPr="00EE06EE" w:rsidRDefault="001B5543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</w:tcPr>
          <w:p w14:paraId="7A68C142" w14:textId="0758ADA0" w:rsidR="001B5543" w:rsidRPr="00EE06EE" w:rsidRDefault="00D9355A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</w:tr>
      <w:tr w:rsidR="00B6219A" w:rsidRPr="00EE06EE" w14:paraId="60C8D3A2" w14:textId="77777777" w:rsidTr="005C6268">
        <w:tc>
          <w:tcPr>
            <w:tcW w:w="6487" w:type="dxa"/>
            <w:shd w:val="clear" w:color="auto" w:fill="auto"/>
          </w:tcPr>
          <w:p w14:paraId="074168EA" w14:textId="5CFED58E" w:rsidR="00B6219A" w:rsidRPr="00EE06EE" w:rsidRDefault="00B6219A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Experience of implementing policy and processes and successfully embedding them in standard practice</w:t>
            </w:r>
          </w:p>
        </w:tc>
        <w:tc>
          <w:tcPr>
            <w:tcW w:w="1418" w:type="dxa"/>
            <w:shd w:val="clear" w:color="auto" w:fill="auto"/>
          </w:tcPr>
          <w:p w14:paraId="73628609" w14:textId="77777777" w:rsidR="00B6219A" w:rsidRPr="00EE06EE" w:rsidRDefault="00B6219A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</w:tcPr>
          <w:p w14:paraId="25BD0DD8" w14:textId="61D13595" w:rsidR="00B6219A" w:rsidRPr="00EE06EE" w:rsidRDefault="00B6219A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</w:tr>
      <w:tr w:rsidR="001B5543" w:rsidRPr="00EE06EE" w14:paraId="4759BC5A" w14:textId="77777777" w:rsidTr="005C6268">
        <w:tc>
          <w:tcPr>
            <w:tcW w:w="6487" w:type="dxa"/>
            <w:shd w:val="clear" w:color="auto" w:fill="auto"/>
          </w:tcPr>
          <w:p w14:paraId="30210435" w14:textId="59A840C8" w:rsidR="001B5543" w:rsidRPr="00EE06EE" w:rsidRDefault="001B5543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Knowledge of sector benchmarking tools and data sources</w:t>
            </w:r>
          </w:p>
        </w:tc>
        <w:tc>
          <w:tcPr>
            <w:tcW w:w="1418" w:type="dxa"/>
            <w:shd w:val="clear" w:color="auto" w:fill="auto"/>
          </w:tcPr>
          <w:p w14:paraId="7DAB1FEB" w14:textId="77777777" w:rsidR="001B5543" w:rsidRPr="00EE06EE" w:rsidRDefault="001B5543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</w:tcPr>
          <w:p w14:paraId="28F48331" w14:textId="6DDBE361" w:rsidR="001B5543" w:rsidRPr="00EE06EE" w:rsidRDefault="00D9355A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</w:tr>
      <w:tr w:rsidR="00C7439B" w:rsidRPr="00EE06EE" w14:paraId="342F2A60" w14:textId="77777777" w:rsidTr="005C6268">
        <w:tc>
          <w:tcPr>
            <w:tcW w:w="6487" w:type="dxa"/>
            <w:shd w:val="clear" w:color="auto" w:fill="auto"/>
          </w:tcPr>
          <w:p w14:paraId="5F3D3E87" w14:textId="7D6B92AC" w:rsidR="00C7439B" w:rsidRPr="00EE06EE" w:rsidRDefault="00C7439B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Previous experience working in an HEI setting</w:t>
            </w:r>
          </w:p>
        </w:tc>
        <w:tc>
          <w:tcPr>
            <w:tcW w:w="1418" w:type="dxa"/>
            <w:shd w:val="clear" w:color="auto" w:fill="auto"/>
          </w:tcPr>
          <w:p w14:paraId="4B94B508" w14:textId="77777777" w:rsidR="00C7439B" w:rsidRPr="00EE06EE" w:rsidRDefault="00C7439B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auto"/>
          </w:tcPr>
          <w:p w14:paraId="22F1E01B" w14:textId="3C4F2FE8" w:rsidR="00C7439B" w:rsidRPr="00EE06EE" w:rsidRDefault="00C7439B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</w:tr>
      <w:tr w:rsidR="00FB491F" w:rsidRPr="00EE06EE" w14:paraId="3A0EC4AB" w14:textId="77777777" w:rsidTr="005C6268">
        <w:tc>
          <w:tcPr>
            <w:tcW w:w="6487" w:type="dxa"/>
            <w:shd w:val="clear" w:color="auto" w:fill="FFEAC1"/>
          </w:tcPr>
          <w:p w14:paraId="63278ACD" w14:textId="1A201E9D" w:rsidR="00FB491F" w:rsidRPr="00EE06EE" w:rsidRDefault="00FB491F" w:rsidP="00EE06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06EE">
              <w:rPr>
                <w:rFonts w:ascii="Arial" w:hAnsi="Arial" w:cs="Arial"/>
                <w:b/>
                <w:bCs/>
                <w:sz w:val="22"/>
                <w:szCs w:val="22"/>
              </w:rPr>
              <w:t>Skills</w:t>
            </w:r>
            <w:r w:rsidR="004425B9" w:rsidRPr="00EE06EE">
              <w:rPr>
                <w:rFonts w:ascii="Arial" w:hAnsi="Arial" w:cs="Arial"/>
                <w:b/>
                <w:bCs/>
                <w:sz w:val="22"/>
                <w:szCs w:val="22"/>
              </w:rPr>
              <w:t>/Attributes</w:t>
            </w:r>
          </w:p>
        </w:tc>
        <w:tc>
          <w:tcPr>
            <w:tcW w:w="1418" w:type="dxa"/>
            <w:shd w:val="clear" w:color="auto" w:fill="FFEAC1"/>
          </w:tcPr>
          <w:p w14:paraId="7F04D760" w14:textId="77777777" w:rsidR="00FB491F" w:rsidRPr="00EE06EE" w:rsidRDefault="00FB491F" w:rsidP="00EE06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  <w:shd w:val="clear" w:color="auto" w:fill="FFEAC1"/>
          </w:tcPr>
          <w:p w14:paraId="77C77635" w14:textId="77777777" w:rsidR="00FB491F" w:rsidRPr="00EE06EE" w:rsidRDefault="00FB491F" w:rsidP="00EE06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91F" w:rsidRPr="00EE06EE" w14:paraId="51E16AA8" w14:textId="77777777" w:rsidTr="005C6268">
        <w:tc>
          <w:tcPr>
            <w:tcW w:w="6487" w:type="dxa"/>
            <w:shd w:val="clear" w:color="auto" w:fill="auto"/>
          </w:tcPr>
          <w:p w14:paraId="010D252B" w14:textId="26CA2B99" w:rsidR="00FB491F" w:rsidRPr="00EE06EE" w:rsidRDefault="001B5543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Strong communication and interpersonal skills, with the ability to engage effectively across professional and academic communities</w:t>
            </w:r>
          </w:p>
        </w:tc>
        <w:tc>
          <w:tcPr>
            <w:tcW w:w="1418" w:type="dxa"/>
            <w:shd w:val="clear" w:color="auto" w:fill="auto"/>
          </w:tcPr>
          <w:p w14:paraId="70578755" w14:textId="476570AF" w:rsidR="00FB491F" w:rsidRPr="00EE06EE" w:rsidRDefault="00D9355A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  <w:tc>
          <w:tcPr>
            <w:tcW w:w="1381" w:type="dxa"/>
            <w:shd w:val="clear" w:color="auto" w:fill="auto"/>
          </w:tcPr>
          <w:p w14:paraId="68EFC83B" w14:textId="77777777" w:rsidR="00FB491F" w:rsidRPr="00EE06EE" w:rsidRDefault="00FB491F" w:rsidP="00EE06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543" w:rsidRPr="00EE06EE" w14:paraId="70AAEBDC" w14:textId="77777777" w:rsidTr="005C6268">
        <w:tc>
          <w:tcPr>
            <w:tcW w:w="6487" w:type="dxa"/>
            <w:shd w:val="clear" w:color="auto" w:fill="auto"/>
          </w:tcPr>
          <w:p w14:paraId="0AEA3478" w14:textId="3ADC23B6" w:rsidR="001B5543" w:rsidRPr="00EE06EE" w:rsidRDefault="00B84E7C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Ability to work independently with a high degree of integrity and initiative</w:t>
            </w:r>
          </w:p>
        </w:tc>
        <w:tc>
          <w:tcPr>
            <w:tcW w:w="1418" w:type="dxa"/>
            <w:shd w:val="clear" w:color="auto" w:fill="auto"/>
          </w:tcPr>
          <w:p w14:paraId="55EBA919" w14:textId="1D041F07" w:rsidR="001B5543" w:rsidRPr="00EE06EE" w:rsidRDefault="00F322E5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  <w:tc>
          <w:tcPr>
            <w:tcW w:w="1381" w:type="dxa"/>
            <w:shd w:val="clear" w:color="auto" w:fill="auto"/>
          </w:tcPr>
          <w:p w14:paraId="4CC30530" w14:textId="77777777" w:rsidR="001B5543" w:rsidRPr="00EE06EE" w:rsidRDefault="001B5543" w:rsidP="00EE06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4E7C" w:rsidRPr="00EE06EE" w14:paraId="5D544B1A" w14:textId="77777777" w:rsidTr="005C6268">
        <w:tc>
          <w:tcPr>
            <w:tcW w:w="6487" w:type="dxa"/>
            <w:shd w:val="clear" w:color="auto" w:fill="auto"/>
          </w:tcPr>
          <w:p w14:paraId="74CABE03" w14:textId="2CA026A5" w:rsidR="00B84E7C" w:rsidRPr="00EE06EE" w:rsidRDefault="00A04521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Ability to think strategically and consider the ‘bigger picture’ when making decisions</w:t>
            </w:r>
          </w:p>
        </w:tc>
        <w:tc>
          <w:tcPr>
            <w:tcW w:w="1418" w:type="dxa"/>
            <w:shd w:val="clear" w:color="auto" w:fill="auto"/>
          </w:tcPr>
          <w:p w14:paraId="20E87F24" w14:textId="42270D49" w:rsidR="00B84E7C" w:rsidRPr="00EE06EE" w:rsidRDefault="00F322E5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  <w:tc>
          <w:tcPr>
            <w:tcW w:w="1381" w:type="dxa"/>
            <w:shd w:val="clear" w:color="auto" w:fill="auto"/>
          </w:tcPr>
          <w:p w14:paraId="126239E9" w14:textId="77777777" w:rsidR="00B84E7C" w:rsidRPr="00EE06EE" w:rsidRDefault="00B84E7C" w:rsidP="00EE06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4521" w:rsidRPr="00EE06EE" w14:paraId="55A33AAC" w14:textId="77777777" w:rsidTr="005C6268">
        <w:tc>
          <w:tcPr>
            <w:tcW w:w="6487" w:type="dxa"/>
            <w:shd w:val="clear" w:color="auto" w:fill="auto"/>
          </w:tcPr>
          <w:p w14:paraId="57DD723D" w14:textId="72A2448D" w:rsidR="00A04521" w:rsidRPr="00EE06EE" w:rsidRDefault="00BC79D6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Strong IT literacy skills</w:t>
            </w:r>
          </w:p>
        </w:tc>
        <w:tc>
          <w:tcPr>
            <w:tcW w:w="1418" w:type="dxa"/>
            <w:shd w:val="clear" w:color="auto" w:fill="auto"/>
          </w:tcPr>
          <w:p w14:paraId="65746D9E" w14:textId="6F3576C5" w:rsidR="00A04521" w:rsidRPr="00EE06EE" w:rsidRDefault="00F322E5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  <w:tc>
          <w:tcPr>
            <w:tcW w:w="1381" w:type="dxa"/>
            <w:shd w:val="clear" w:color="auto" w:fill="auto"/>
          </w:tcPr>
          <w:p w14:paraId="3E9E2FF9" w14:textId="77777777" w:rsidR="00A04521" w:rsidRPr="00EE06EE" w:rsidRDefault="00A04521" w:rsidP="00EE06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9D6" w:rsidRPr="00EE06EE" w14:paraId="7E4F3462" w14:textId="77777777" w:rsidTr="005C6268">
        <w:tc>
          <w:tcPr>
            <w:tcW w:w="6487" w:type="dxa"/>
            <w:shd w:val="clear" w:color="auto" w:fill="auto"/>
          </w:tcPr>
          <w:p w14:paraId="4F7F90AF" w14:textId="124DB3C8" w:rsidR="00BC79D6" w:rsidRPr="00EE06EE" w:rsidRDefault="00F322E5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Confidence in your own ability to critically assess current processes and make suggestions for change</w:t>
            </w:r>
          </w:p>
        </w:tc>
        <w:tc>
          <w:tcPr>
            <w:tcW w:w="1418" w:type="dxa"/>
            <w:shd w:val="clear" w:color="auto" w:fill="auto"/>
          </w:tcPr>
          <w:p w14:paraId="6BDE75C5" w14:textId="711A47D1" w:rsidR="00BC79D6" w:rsidRPr="00EE06EE" w:rsidRDefault="00F322E5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  <w:tc>
          <w:tcPr>
            <w:tcW w:w="1381" w:type="dxa"/>
            <w:shd w:val="clear" w:color="auto" w:fill="auto"/>
          </w:tcPr>
          <w:p w14:paraId="5058EB7F" w14:textId="77777777" w:rsidR="00BC79D6" w:rsidRPr="00EE06EE" w:rsidRDefault="00BC79D6" w:rsidP="00EE06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F48" w:rsidRPr="00EE06EE" w14:paraId="69D06EBD" w14:textId="77777777" w:rsidTr="005C6268">
        <w:tc>
          <w:tcPr>
            <w:tcW w:w="6487" w:type="dxa"/>
            <w:shd w:val="clear" w:color="auto" w:fill="auto"/>
          </w:tcPr>
          <w:p w14:paraId="1AB959C7" w14:textId="3D6A0478" w:rsidR="00EA5F48" w:rsidRPr="00EE06EE" w:rsidRDefault="00EA5F48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Ability to assimilate new information quickly</w:t>
            </w:r>
          </w:p>
        </w:tc>
        <w:tc>
          <w:tcPr>
            <w:tcW w:w="1418" w:type="dxa"/>
            <w:shd w:val="clear" w:color="auto" w:fill="auto"/>
          </w:tcPr>
          <w:p w14:paraId="53B5E2DC" w14:textId="6A7365B2" w:rsidR="00EA5F48" w:rsidRPr="00EE06EE" w:rsidRDefault="00EA5F48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  <w:tc>
          <w:tcPr>
            <w:tcW w:w="1381" w:type="dxa"/>
            <w:shd w:val="clear" w:color="auto" w:fill="auto"/>
          </w:tcPr>
          <w:p w14:paraId="03CCFB46" w14:textId="77777777" w:rsidR="00EA5F48" w:rsidRPr="00EE06EE" w:rsidRDefault="00EA5F48" w:rsidP="00EE06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491F" w:rsidRPr="00EE06EE" w14:paraId="4D399BB1" w14:textId="77777777" w:rsidTr="005C6268">
        <w:tc>
          <w:tcPr>
            <w:tcW w:w="6487" w:type="dxa"/>
            <w:shd w:val="clear" w:color="auto" w:fill="auto"/>
          </w:tcPr>
          <w:p w14:paraId="144FA688" w14:textId="34F7587C" w:rsidR="00FB491F" w:rsidRPr="00EE06EE" w:rsidRDefault="001B5543" w:rsidP="00EE06EE">
            <w:pPr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Ability to work independently, manage competing priorities, and deliver results</w:t>
            </w:r>
          </w:p>
        </w:tc>
        <w:tc>
          <w:tcPr>
            <w:tcW w:w="1418" w:type="dxa"/>
            <w:shd w:val="clear" w:color="auto" w:fill="auto"/>
          </w:tcPr>
          <w:p w14:paraId="4EB47BFB" w14:textId="2AE86BAA" w:rsidR="00FB491F" w:rsidRPr="00EE06EE" w:rsidRDefault="00D9355A" w:rsidP="00EE06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06EE">
              <w:rPr>
                <w:rFonts w:ascii="Arial" w:hAnsi="Arial" w:cs="Arial"/>
                <w:sz w:val="22"/>
                <w:szCs w:val="22"/>
              </w:rPr>
              <w:t>A/I</w:t>
            </w:r>
          </w:p>
        </w:tc>
        <w:tc>
          <w:tcPr>
            <w:tcW w:w="1381" w:type="dxa"/>
            <w:shd w:val="clear" w:color="auto" w:fill="auto"/>
          </w:tcPr>
          <w:p w14:paraId="7D053E72" w14:textId="77777777" w:rsidR="00FB491F" w:rsidRPr="00EE06EE" w:rsidRDefault="00FB491F" w:rsidP="00EE06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16ADF1" w14:textId="77777777" w:rsidR="00FB491F" w:rsidRPr="00EE06EE" w:rsidRDefault="00FB491F" w:rsidP="00EE06E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1BCBD2" w14:textId="77777777" w:rsidR="00083B74" w:rsidRPr="00EE06EE" w:rsidRDefault="00083B74" w:rsidP="00EE06E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6705E4" w14:textId="77777777" w:rsidR="00083B74" w:rsidRPr="00EE06EE" w:rsidRDefault="00083B74" w:rsidP="00EE06EE">
      <w:pPr>
        <w:rPr>
          <w:rFonts w:ascii="Arial" w:hAnsi="Arial" w:cs="Arial"/>
          <w:sz w:val="22"/>
          <w:szCs w:val="22"/>
        </w:rPr>
      </w:pPr>
    </w:p>
    <w:p w14:paraId="7359C40E" w14:textId="77777777" w:rsidR="00083B74" w:rsidRPr="00083B74" w:rsidRDefault="00083B74" w:rsidP="00083B74">
      <w:pPr>
        <w:rPr>
          <w:rFonts w:ascii="Arial" w:hAnsi="Arial"/>
          <w:sz w:val="24"/>
        </w:rPr>
      </w:pPr>
    </w:p>
    <w:sectPr w:rsidR="00083B74" w:rsidRPr="00083B74" w:rsidSect="00EE06EE">
      <w:headerReference w:type="default" r:id="rId9"/>
      <w:footerReference w:type="default" r:id="rId10"/>
      <w:pgSz w:w="11906" w:h="16838"/>
      <w:pgMar w:top="1224" w:right="1728" w:bottom="1008" w:left="17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AE0CD" w14:textId="77777777" w:rsidR="00935ED9" w:rsidRDefault="00935ED9">
      <w:r>
        <w:separator/>
      </w:r>
    </w:p>
  </w:endnote>
  <w:endnote w:type="continuationSeparator" w:id="0">
    <w:p w14:paraId="4368F91B" w14:textId="77777777" w:rsidR="00935ED9" w:rsidRDefault="0093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1CFB" w14:textId="77777777" w:rsidR="00160AE4" w:rsidRPr="00CA4D1C" w:rsidRDefault="00160AE4" w:rsidP="008E2602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1F0A0F">
      <w:rPr>
        <w:rFonts w:ascii="Arial" w:hAnsi="Arial" w:cs="Arial"/>
        <w:noProof/>
      </w:rPr>
      <w:t>1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7A64" w14:textId="77777777" w:rsidR="00160AE4" w:rsidRPr="009C096B" w:rsidRDefault="00160AE4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D1E2" w14:textId="77777777" w:rsidR="00935ED9" w:rsidRDefault="00935ED9">
      <w:r>
        <w:separator/>
      </w:r>
    </w:p>
  </w:footnote>
  <w:footnote w:type="continuationSeparator" w:id="0">
    <w:p w14:paraId="4DADA54F" w14:textId="77777777" w:rsidR="00935ED9" w:rsidRDefault="00935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863E" w14:textId="77777777" w:rsidR="00160AE4" w:rsidRPr="00CC7A60" w:rsidRDefault="00160AE4" w:rsidP="00CC7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3C5"/>
    <w:multiLevelType w:val="multilevel"/>
    <w:tmpl w:val="7AC2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1B613D"/>
    <w:multiLevelType w:val="multilevel"/>
    <w:tmpl w:val="36A4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C904A8"/>
    <w:multiLevelType w:val="multilevel"/>
    <w:tmpl w:val="8CE8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535517"/>
    <w:multiLevelType w:val="multilevel"/>
    <w:tmpl w:val="5298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E6031E"/>
    <w:multiLevelType w:val="multilevel"/>
    <w:tmpl w:val="8700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006A7B"/>
    <w:multiLevelType w:val="multilevel"/>
    <w:tmpl w:val="5A5A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8811EE"/>
    <w:multiLevelType w:val="multilevel"/>
    <w:tmpl w:val="31E2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374162"/>
    <w:multiLevelType w:val="multilevel"/>
    <w:tmpl w:val="39D4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CD6B37"/>
    <w:multiLevelType w:val="multilevel"/>
    <w:tmpl w:val="B92C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150743"/>
    <w:multiLevelType w:val="hybridMultilevel"/>
    <w:tmpl w:val="89F88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F3B3F"/>
    <w:multiLevelType w:val="multilevel"/>
    <w:tmpl w:val="26EE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441CA9"/>
    <w:multiLevelType w:val="multilevel"/>
    <w:tmpl w:val="5050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AE08B8"/>
    <w:multiLevelType w:val="multilevel"/>
    <w:tmpl w:val="3706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99086A"/>
    <w:multiLevelType w:val="multilevel"/>
    <w:tmpl w:val="D0EA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E47A82"/>
    <w:multiLevelType w:val="multilevel"/>
    <w:tmpl w:val="61BC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CD0075"/>
    <w:multiLevelType w:val="multilevel"/>
    <w:tmpl w:val="4996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3C0246"/>
    <w:multiLevelType w:val="multilevel"/>
    <w:tmpl w:val="D0A4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D569C4"/>
    <w:multiLevelType w:val="multilevel"/>
    <w:tmpl w:val="94BC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9217422">
    <w:abstractNumId w:val="3"/>
  </w:num>
  <w:num w:numId="2" w16cid:durableId="964315242">
    <w:abstractNumId w:val="11"/>
  </w:num>
  <w:num w:numId="3" w16cid:durableId="2020038664">
    <w:abstractNumId w:val="13"/>
  </w:num>
  <w:num w:numId="4" w16cid:durableId="938483625">
    <w:abstractNumId w:val="1"/>
  </w:num>
  <w:num w:numId="5" w16cid:durableId="339087057">
    <w:abstractNumId w:val="4"/>
  </w:num>
  <w:num w:numId="6" w16cid:durableId="1445881725">
    <w:abstractNumId w:val="17"/>
  </w:num>
  <w:num w:numId="7" w16cid:durableId="1903327389">
    <w:abstractNumId w:val="2"/>
  </w:num>
  <w:num w:numId="8" w16cid:durableId="467430075">
    <w:abstractNumId w:val="15"/>
  </w:num>
  <w:num w:numId="9" w16cid:durableId="1945918355">
    <w:abstractNumId w:val="10"/>
  </w:num>
  <w:num w:numId="10" w16cid:durableId="1116757473">
    <w:abstractNumId w:val="16"/>
  </w:num>
  <w:num w:numId="11" w16cid:durableId="1812752824">
    <w:abstractNumId w:val="7"/>
  </w:num>
  <w:num w:numId="12" w16cid:durableId="150751837">
    <w:abstractNumId w:val="8"/>
  </w:num>
  <w:num w:numId="13" w16cid:durableId="500199763">
    <w:abstractNumId w:val="5"/>
  </w:num>
  <w:num w:numId="14" w16cid:durableId="44915093">
    <w:abstractNumId w:val="0"/>
  </w:num>
  <w:num w:numId="15" w16cid:durableId="1831016702">
    <w:abstractNumId w:val="6"/>
  </w:num>
  <w:num w:numId="16" w16cid:durableId="1008556574">
    <w:abstractNumId w:val="12"/>
  </w:num>
  <w:num w:numId="17" w16cid:durableId="386883633">
    <w:abstractNumId w:val="14"/>
  </w:num>
  <w:num w:numId="18" w16cid:durableId="8295658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1C"/>
    <w:rsid w:val="0000737E"/>
    <w:rsid w:val="0001098E"/>
    <w:rsid w:val="0001593B"/>
    <w:rsid w:val="00040B67"/>
    <w:rsid w:val="000617FA"/>
    <w:rsid w:val="0007144A"/>
    <w:rsid w:val="00076EDD"/>
    <w:rsid w:val="00083AC6"/>
    <w:rsid w:val="00083B74"/>
    <w:rsid w:val="000873C8"/>
    <w:rsid w:val="00094AE0"/>
    <w:rsid w:val="000C166D"/>
    <w:rsid w:val="000D1AF1"/>
    <w:rsid w:val="000D3AEC"/>
    <w:rsid w:val="000E22B1"/>
    <w:rsid w:val="00127003"/>
    <w:rsid w:val="00130E88"/>
    <w:rsid w:val="00150A10"/>
    <w:rsid w:val="00160AE4"/>
    <w:rsid w:val="0019685C"/>
    <w:rsid w:val="001A2ED2"/>
    <w:rsid w:val="001B5543"/>
    <w:rsid w:val="001E5A5B"/>
    <w:rsid w:val="001F0A0F"/>
    <w:rsid w:val="002061C0"/>
    <w:rsid w:val="002133AE"/>
    <w:rsid w:val="00233187"/>
    <w:rsid w:val="00284BDA"/>
    <w:rsid w:val="00291DAD"/>
    <w:rsid w:val="002B7774"/>
    <w:rsid w:val="002D6EAF"/>
    <w:rsid w:val="002F6217"/>
    <w:rsid w:val="003014C1"/>
    <w:rsid w:val="00317E6B"/>
    <w:rsid w:val="0033497F"/>
    <w:rsid w:val="0034501E"/>
    <w:rsid w:val="00376A28"/>
    <w:rsid w:val="0038348D"/>
    <w:rsid w:val="003900D2"/>
    <w:rsid w:val="003A0D35"/>
    <w:rsid w:val="003B4F77"/>
    <w:rsid w:val="003C0162"/>
    <w:rsid w:val="003C5759"/>
    <w:rsid w:val="003D44E3"/>
    <w:rsid w:val="003F076B"/>
    <w:rsid w:val="003F0ADC"/>
    <w:rsid w:val="003F241A"/>
    <w:rsid w:val="0041785B"/>
    <w:rsid w:val="004425B9"/>
    <w:rsid w:val="004456CE"/>
    <w:rsid w:val="00464D6E"/>
    <w:rsid w:val="004F5248"/>
    <w:rsid w:val="005104FF"/>
    <w:rsid w:val="005233BF"/>
    <w:rsid w:val="00531B49"/>
    <w:rsid w:val="005320D4"/>
    <w:rsid w:val="00540424"/>
    <w:rsid w:val="00557E4E"/>
    <w:rsid w:val="0058378D"/>
    <w:rsid w:val="00583EFA"/>
    <w:rsid w:val="005C6268"/>
    <w:rsid w:val="005E20E6"/>
    <w:rsid w:val="005E40AF"/>
    <w:rsid w:val="005E53E4"/>
    <w:rsid w:val="006003D6"/>
    <w:rsid w:val="00604CF1"/>
    <w:rsid w:val="00605158"/>
    <w:rsid w:val="0061313A"/>
    <w:rsid w:val="00637189"/>
    <w:rsid w:val="00646056"/>
    <w:rsid w:val="00671DC7"/>
    <w:rsid w:val="00691F53"/>
    <w:rsid w:val="006F1005"/>
    <w:rsid w:val="006F513C"/>
    <w:rsid w:val="00700462"/>
    <w:rsid w:val="00702961"/>
    <w:rsid w:val="00712812"/>
    <w:rsid w:val="00716234"/>
    <w:rsid w:val="00726D62"/>
    <w:rsid w:val="00737DA8"/>
    <w:rsid w:val="007577E7"/>
    <w:rsid w:val="00762D3C"/>
    <w:rsid w:val="007701AC"/>
    <w:rsid w:val="00794FC7"/>
    <w:rsid w:val="007C5F5C"/>
    <w:rsid w:val="007C69B4"/>
    <w:rsid w:val="007D0608"/>
    <w:rsid w:val="007E5B32"/>
    <w:rsid w:val="007F1DA0"/>
    <w:rsid w:val="00805C7C"/>
    <w:rsid w:val="00815BE4"/>
    <w:rsid w:val="00822DDD"/>
    <w:rsid w:val="008265AF"/>
    <w:rsid w:val="00830791"/>
    <w:rsid w:val="008422C4"/>
    <w:rsid w:val="00866937"/>
    <w:rsid w:val="00880AAC"/>
    <w:rsid w:val="0088764E"/>
    <w:rsid w:val="008A2287"/>
    <w:rsid w:val="008C1FC1"/>
    <w:rsid w:val="008E2602"/>
    <w:rsid w:val="008E2763"/>
    <w:rsid w:val="008E3169"/>
    <w:rsid w:val="008E3735"/>
    <w:rsid w:val="008E51F0"/>
    <w:rsid w:val="00906293"/>
    <w:rsid w:val="009074A1"/>
    <w:rsid w:val="00922546"/>
    <w:rsid w:val="00923801"/>
    <w:rsid w:val="00935ED9"/>
    <w:rsid w:val="00986BA1"/>
    <w:rsid w:val="009B200D"/>
    <w:rsid w:val="009B6948"/>
    <w:rsid w:val="009E675B"/>
    <w:rsid w:val="009F3FE7"/>
    <w:rsid w:val="009F4E31"/>
    <w:rsid w:val="009F537A"/>
    <w:rsid w:val="00A04521"/>
    <w:rsid w:val="00A12ED4"/>
    <w:rsid w:val="00A504FA"/>
    <w:rsid w:val="00A63810"/>
    <w:rsid w:val="00A9491E"/>
    <w:rsid w:val="00AC598A"/>
    <w:rsid w:val="00B306DD"/>
    <w:rsid w:val="00B320BE"/>
    <w:rsid w:val="00B475A2"/>
    <w:rsid w:val="00B50D4D"/>
    <w:rsid w:val="00B52123"/>
    <w:rsid w:val="00B57041"/>
    <w:rsid w:val="00B6219A"/>
    <w:rsid w:val="00B735BA"/>
    <w:rsid w:val="00B76C24"/>
    <w:rsid w:val="00B84E7C"/>
    <w:rsid w:val="00BC47C4"/>
    <w:rsid w:val="00BC79D6"/>
    <w:rsid w:val="00BD3604"/>
    <w:rsid w:val="00C06054"/>
    <w:rsid w:val="00C32F73"/>
    <w:rsid w:val="00C40143"/>
    <w:rsid w:val="00C64266"/>
    <w:rsid w:val="00C7439B"/>
    <w:rsid w:val="00CA4D1C"/>
    <w:rsid w:val="00CC407C"/>
    <w:rsid w:val="00CC7A60"/>
    <w:rsid w:val="00D008D4"/>
    <w:rsid w:val="00D015A1"/>
    <w:rsid w:val="00D05A4B"/>
    <w:rsid w:val="00D14835"/>
    <w:rsid w:val="00D2573E"/>
    <w:rsid w:val="00D360A4"/>
    <w:rsid w:val="00D4342E"/>
    <w:rsid w:val="00D5191E"/>
    <w:rsid w:val="00D5301A"/>
    <w:rsid w:val="00D9355A"/>
    <w:rsid w:val="00DB2B89"/>
    <w:rsid w:val="00DC027D"/>
    <w:rsid w:val="00DF33C9"/>
    <w:rsid w:val="00DF50F9"/>
    <w:rsid w:val="00E221FB"/>
    <w:rsid w:val="00E34F24"/>
    <w:rsid w:val="00E55C06"/>
    <w:rsid w:val="00EA5F48"/>
    <w:rsid w:val="00EB48D7"/>
    <w:rsid w:val="00EB5963"/>
    <w:rsid w:val="00ED4B5E"/>
    <w:rsid w:val="00ED59C5"/>
    <w:rsid w:val="00EE06EE"/>
    <w:rsid w:val="00EE528E"/>
    <w:rsid w:val="00EF391A"/>
    <w:rsid w:val="00F00383"/>
    <w:rsid w:val="00F25519"/>
    <w:rsid w:val="00F25A76"/>
    <w:rsid w:val="00F322E5"/>
    <w:rsid w:val="00F678D4"/>
    <w:rsid w:val="00F70D8C"/>
    <w:rsid w:val="00F76BB2"/>
    <w:rsid w:val="00F80367"/>
    <w:rsid w:val="00F80A3B"/>
    <w:rsid w:val="00FA28B8"/>
    <w:rsid w:val="00FB491F"/>
    <w:rsid w:val="00FC2867"/>
    <w:rsid w:val="00FC60AF"/>
    <w:rsid w:val="00FC661A"/>
    <w:rsid w:val="00FC6B65"/>
    <w:rsid w:val="00FE0CD2"/>
    <w:rsid w:val="00FE3731"/>
    <w:rsid w:val="52089897"/>
    <w:rsid w:val="7AE6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32F80C1"/>
  <w15:chartTrackingRefBased/>
  <w15:docId w15:val="{9A0AA0DA-9C53-4D8C-8A6A-58E04919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E0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E0CD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3834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348D"/>
  </w:style>
  <w:style w:type="character" w:customStyle="1" w:styleId="CommentTextChar">
    <w:name w:val="Comment Text Char"/>
    <w:link w:val="CommentText"/>
    <w:rsid w:val="0038348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348D"/>
    <w:rPr>
      <w:b/>
      <w:bCs/>
    </w:rPr>
  </w:style>
  <w:style w:type="character" w:customStyle="1" w:styleId="CommentSubjectChar">
    <w:name w:val="Comment Subject Char"/>
    <w:link w:val="CommentSubject"/>
    <w:rsid w:val="0038348D"/>
    <w:rPr>
      <w:b/>
      <w:bCs/>
      <w:lang w:eastAsia="en-US"/>
    </w:rPr>
  </w:style>
  <w:style w:type="character" w:styleId="Mention">
    <w:name w:val="Mention"/>
    <w:uiPriority w:val="99"/>
    <w:unhideWhenUsed/>
    <w:rsid w:val="006F513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2700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6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5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33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005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04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3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97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6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4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934</Words>
  <Characters>5326</Characters>
  <Application>Microsoft Office Word</Application>
  <DocSecurity>4</DocSecurity>
  <Lines>44</Lines>
  <Paragraphs>12</Paragraphs>
  <ScaleCrop>false</ScaleCrop>
  <Company>University of Bath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Flindall</dc:creator>
  <cp:keywords/>
  <cp:lastModifiedBy>Claire Coombes</cp:lastModifiedBy>
  <cp:revision>2</cp:revision>
  <cp:lastPrinted>2010-01-27T10:55:00Z</cp:lastPrinted>
  <dcterms:created xsi:type="dcterms:W3CDTF">2025-11-25T13:13:00Z</dcterms:created>
  <dcterms:modified xsi:type="dcterms:W3CDTF">2025-11-25T13:13:00Z</dcterms:modified>
</cp:coreProperties>
</file>